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C2E1F">
      <w:pPr>
        <w:pStyle w:val="15"/>
        <w:rPr>
          <w:sz w:val="11"/>
          <w:szCs w:val="11"/>
          <w:lang w:eastAsia="zh-CN"/>
        </w:rPr>
      </w:pPr>
    </w:p>
    <w:p w14:paraId="76C22DD4">
      <w:pPr>
        <w:pStyle w:val="15"/>
        <w:rPr>
          <w:lang w:eastAsia="zh-CN"/>
        </w:rPr>
      </w:pPr>
      <w:r>
        <w:rPr>
          <w:lang w:eastAsia="zh-CN"/>
        </w:rPr>
        <w:t>阜新市“十五五”农业农村现代化规划</w:t>
      </w:r>
    </w:p>
    <w:p w14:paraId="126524AA">
      <w:pPr>
        <w:ind w:firstLine="0" w:firstLineChars="0"/>
        <w:jc w:val="center"/>
        <w:rPr>
          <w:lang w:eastAsia="zh-CN"/>
        </w:rPr>
      </w:pPr>
      <w:r>
        <w:rPr>
          <w:rFonts w:hint="eastAsia"/>
          <w:lang w:eastAsia="zh-CN"/>
        </w:rPr>
        <w:t>（征求意见稿）</w:t>
      </w:r>
    </w:p>
    <w:p w14:paraId="4D3C50F8">
      <w:pPr>
        <w:ind w:firstLine="0" w:firstLineChars="0"/>
        <w:rPr>
          <w:strike/>
          <w:lang w:eastAsia="zh-CN"/>
        </w:rPr>
      </w:pPr>
    </w:p>
    <w:p w14:paraId="1DFB1150">
      <w:pPr>
        <w:ind w:firstLine="640"/>
        <w:rPr>
          <w:lang w:eastAsia="zh-CN"/>
        </w:rPr>
      </w:pPr>
      <w:r>
        <w:rPr>
          <w:lang w:eastAsia="zh-CN"/>
        </w:rPr>
        <w:t>“</w:t>
      </w:r>
      <w:r>
        <w:rPr>
          <w:rFonts w:hint="eastAsia"/>
          <w:lang w:eastAsia="zh-CN"/>
        </w:rPr>
        <w:t>十五五</w:t>
      </w:r>
      <w:r>
        <w:rPr>
          <w:lang w:eastAsia="zh-CN"/>
        </w:rPr>
        <w:t>”</w:t>
      </w:r>
      <w:r>
        <w:rPr>
          <w:rFonts w:hint="eastAsia"/>
          <w:lang w:eastAsia="zh-CN"/>
        </w:rPr>
        <w:t>时期，是我国全面建设社会主义现代化国家的第二个五年，是发展农业新质生产力、建设中国式农业农村现代化的关键时期，是阜新市实现全面振兴全方位振兴的重要五年。为贯彻落实加快建设农业强国部署及</w:t>
      </w:r>
      <w:r>
        <w:rPr>
          <w:lang w:eastAsia="zh-CN"/>
        </w:rPr>
        <w:t>辽宁省“十五五”规划要求，</w:t>
      </w:r>
      <w:r>
        <w:rPr>
          <w:rFonts w:hint="eastAsia"/>
          <w:lang w:eastAsia="zh-CN"/>
        </w:rPr>
        <w:t>加快推进阜新市农业农村现代化以及农业强市目标的实现，特编制本规划。</w:t>
      </w:r>
    </w:p>
    <w:p w14:paraId="43D3EE06">
      <w:pPr>
        <w:pStyle w:val="2"/>
        <w:ind w:firstLine="643"/>
        <w:rPr>
          <w:lang w:eastAsia="zh-CN"/>
        </w:rPr>
      </w:pPr>
      <w:r>
        <w:rPr>
          <w:lang w:eastAsia="zh-CN"/>
        </w:rPr>
        <w:t>一、锚定农业强市目标，打造现代化大农业发展先行区</w:t>
      </w:r>
    </w:p>
    <w:p w14:paraId="345F2C5B">
      <w:pPr>
        <w:pStyle w:val="3"/>
        <w:ind w:firstLine="643"/>
        <w:rPr>
          <w:lang w:eastAsia="zh-CN"/>
        </w:rPr>
      </w:pPr>
      <w:r>
        <w:rPr>
          <w:rFonts w:hint="eastAsia"/>
          <w:lang w:eastAsia="zh-CN"/>
        </w:rPr>
        <w:t>（一）</w:t>
      </w:r>
      <w:r>
        <w:rPr>
          <w:lang w:eastAsia="zh-CN"/>
        </w:rPr>
        <w:t>指导思想</w:t>
      </w:r>
    </w:p>
    <w:p w14:paraId="4235602C">
      <w:pPr>
        <w:ind w:firstLine="640"/>
        <w:rPr>
          <w:lang w:eastAsia="zh-CN"/>
        </w:rPr>
      </w:pPr>
      <w:r>
        <w:rPr>
          <w:lang w:eastAsia="zh-CN"/>
        </w:rPr>
        <w:t>以习近平新时代中国特色社会主义思想为指导，全面贯彻党的二十大和二十届历次全会精神，深入落实习近平总书记关于“三农”工作的重要论述和对辽宁振兴发展的重要讲话指示精神，立足维护国家“五大安全”战略定位和</w:t>
      </w:r>
      <w:r>
        <w:rPr>
          <w:rFonts w:hint="eastAsia"/>
          <w:lang w:eastAsia="zh-CN"/>
        </w:rPr>
        <w:t>阜新地处科尔沁沙地南缘、东北粮食主产区、北方农牧交错带的独特区位</w:t>
      </w:r>
      <w:r>
        <w:rPr>
          <w:lang w:eastAsia="zh-CN"/>
        </w:rPr>
        <w:t>，坚持农业农村优先发展总方针，以学习运用“千万工程”经验为引领，以推动高质量发展为主题，以改革创新为根本动力，一体推进农业现代化和农村现代化，高水平守牢粮食安全、不发生规模性返贫致贫、耕地保护、生态安全四条底线，统筹发展科技农业、绿色农业、质量农业、品牌农业，全力建设供给保障强、科技装备强、经营体系强、产业韧性强、竞争能力强的现代农业强市，分类有序推进乡村振兴，推动农村基本具备现代生活条件，</w:t>
      </w:r>
      <w:r>
        <w:rPr>
          <w:rFonts w:hint="eastAsia"/>
          <w:lang w:eastAsia="zh-CN"/>
        </w:rPr>
        <w:t>让农业成为有奔头的产业、农民成为有吸引力的职业、农村成为宜居宜业的美丽家园，以农业农村现代化高质量发展为阜新全面振兴提供坚实支撑，为推进中国式现代化建设贡献阜新力量。</w:t>
      </w:r>
    </w:p>
    <w:p w14:paraId="14B74BE8">
      <w:pPr>
        <w:pStyle w:val="3"/>
        <w:ind w:firstLine="643"/>
        <w:rPr>
          <w:lang w:eastAsia="zh-CN"/>
        </w:rPr>
      </w:pPr>
      <w:r>
        <w:rPr>
          <w:rFonts w:hint="eastAsia"/>
          <w:lang w:eastAsia="zh-CN"/>
        </w:rPr>
        <w:t>（二）</w:t>
      </w:r>
      <w:r>
        <w:rPr>
          <w:lang w:eastAsia="zh-CN"/>
        </w:rPr>
        <w:t>发展思路</w:t>
      </w:r>
    </w:p>
    <w:p w14:paraId="56E7C78A">
      <w:pPr>
        <w:ind w:firstLine="640"/>
        <w:rPr>
          <w:lang w:eastAsia="zh-CN"/>
        </w:rPr>
      </w:pPr>
      <w:r>
        <w:rPr>
          <w:lang w:eastAsia="zh-CN"/>
        </w:rPr>
        <w:t>锚定农业强市目标，紧扣“</w:t>
      </w:r>
      <w:r>
        <w:rPr>
          <w:b/>
          <w:bCs/>
          <w:lang w:eastAsia="zh-CN"/>
        </w:rPr>
        <w:t>稳粮、优畜、强链、兴园</w:t>
      </w:r>
      <w:r>
        <w:rPr>
          <w:lang w:eastAsia="zh-CN"/>
        </w:rPr>
        <w:t>”核心主线，以耕地资源优势为根基</w:t>
      </w:r>
      <w:r>
        <w:rPr>
          <w:rFonts w:hint="eastAsia"/>
          <w:lang w:eastAsia="zh-CN"/>
        </w:rPr>
        <w:t>，</w:t>
      </w:r>
      <w:r>
        <w:rPr>
          <w:lang w:eastAsia="zh-CN"/>
        </w:rPr>
        <w:t>以产业链条延伸为路径</w:t>
      </w:r>
      <w:r>
        <w:rPr>
          <w:rFonts w:hint="eastAsia"/>
          <w:lang w:eastAsia="zh-CN"/>
        </w:rPr>
        <w:t>，</w:t>
      </w:r>
      <w:r>
        <w:rPr>
          <w:lang w:eastAsia="zh-CN"/>
        </w:rPr>
        <w:t>以联农带农为纽带，构建</w:t>
      </w:r>
      <w:r>
        <w:rPr>
          <w:b/>
          <w:bCs/>
          <w:lang w:eastAsia="zh-CN"/>
        </w:rPr>
        <w:t>“龙头引领、园区集聚、供销赋能、国企支撑”</w:t>
      </w:r>
      <w:r>
        <w:rPr>
          <w:lang w:eastAsia="zh-CN"/>
        </w:rPr>
        <w:t>的现代化农业发展格局。聚焦“稳粮”固根基，</w:t>
      </w:r>
      <w:r>
        <w:rPr>
          <w:rFonts w:hint="eastAsia"/>
          <w:lang w:eastAsia="zh-CN"/>
        </w:rPr>
        <w:t>推进</w:t>
      </w:r>
      <w:r>
        <w:rPr>
          <w:lang w:eastAsia="zh-CN"/>
        </w:rPr>
        <w:t>高标准农田建设、</w:t>
      </w:r>
      <w:r>
        <w:rPr>
          <w:rFonts w:hint="eastAsia"/>
          <w:lang w:eastAsia="zh-CN"/>
        </w:rPr>
        <w:t>粮油作物单产提升</w:t>
      </w:r>
      <w:r>
        <w:rPr>
          <w:lang w:eastAsia="zh-CN"/>
        </w:rPr>
        <w:t>、保护性耕作推广，将耕地优势转化为粮食产能优势。聚焦“优畜”提质效，壮大肉牛、生猪等优势畜禽产业，延伸屠宰加工、冷链物流链条，推动畜牧业从规模扩张向质量效益转型。聚焦“强链”增效益，精准招引上下游配套企业，补齐精深加工、品牌营销短板，形成“种养加销”一体化产业体系。聚焦“兴园”聚要素，激活供销社流通网络，发挥农牧集团等国企与高新园区引领作用，带动中小经营主体协同发展，完善“龙头企业+合作社+农户”联农带农机制，让农民深度融入产业链、分享增值收益。</w:t>
      </w:r>
    </w:p>
    <w:p w14:paraId="14DEE52F">
      <w:pPr>
        <w:pStyle w:val="3"/>
        <w:ind w:firstLine="643"/>
        <w:rPr>
          <w:lang w:eastAsia="zh-CN"/>
        </w:rPr>
      </w:pPr>
      <w:r>
        <w:rPr>
          <w:rFonts w:hint="eastAsia"/>
          <w:lang w:eastAsia="zh-CN"/>
        </w:rPr>
        <w:t>（三）发展布局</w:t>
      </w:r>
    </w:p>
    <w:p w14:paraId="460AECB4">
      <w:pPr>
        <w:ind w:firstLine="640"/>
        <w:rPr>
          <w:lang w:eastAsia="zh-CN"/>
        </w:rPr>
      </w:pPr>
      <w:r>
        <w:rPr>
          <w:rFonts w:hint="eastAsia"/>
          <w:lang w:eastAsia="zh-CN"/>
        </w:rPr>
        <w:t>按照</w:t>
      </w:r>
      <w:r>
        <w:rPr>
          <w:lang w:eastAsia="zh-CN"/>
        </w:rPr>
        <w:t>“</w:t>
      </w:r>
      <w:r>
        <w:rPr>
          <w:b/>
          <w:bCs/>
          <w:lang w:eastAsia="zh-CN"/>
        </w:rPr>
        <w:t>片区化推进、特色化发展</w:t>
      </w:r>
      <w:r>
        <w:rPr>
          <w:lang w:eastAsia="zh-CN"/>
        </w:rPr>
        <w:t>”</w:t>
      </w:r>
      <w:r>
        <w:rPr>
          <w:rFonts w:hint="eastAsia"/>
          <w:lang w:eastAsia="zh-CN"/>
        </w:rPr>
        <w:t>思路，打破行政区域壁垒，构建</w:t>
      </w:r>
      <w:r>
        <w:rPr>
          <w:lang w:eastAsia="zh-CN"/>
        </w:rPr>
        <w:t>“</w:t>
      </w:r>
      <w:r>
        <w:rPr>
          <w:rFonts w:hint="eastAsia"/>
          <w:lang w:eastAsia="zh-CN"/>
        </w:rPr>
        <w:t>五区协同、三链联动、一县一策</w:t>
      </w:r>
      <w:r>
        <w:rPr>
          <w:lang w:eastAsia="zh-CN"/>
        </w:rPr>
        <w:t>”</w:t>
      </w:r>
      <w:r>
        <w:rPr>
          <w:rFonts w:hint="eastAsia"/>
          <w:lang w:eastAsia="zh-CN"/>
        </w:rPr>
        <w:t>发展空间布局</w:t>
      </w:r>
      <w:r>
        <w:rPr>
          <w:lang w:eastAsia="zh-CN"/>
        </w:rPr>
        <w:t>：“五区协同”即打造平原精品粮食主产区、特色种养产业区、设施农业与林</w:t>
      </w:r>
      <w:r>
        <w:rPr>
          <w:rFonts w:hint="eastAsia"/>
          <w:lang w:eastAsia="zh-CN"/>
        </w:rPr>
        <w:t>下经济</w:t>
      </w:r>
      <w:r>
        <w:rPr>
          <w:lang w:eastAsia="zh-CN"/>
        </w:rPr>
        <w:t>产业区、近郊农文旅融合发展区、农产品加工集聚示范区五大功能片区，立足各自优势培育主导产业，错位协同发展。“三链联动”即推动粮油、畜禽、果蔬三大产业链向各片区延伸布局，</w:t>
      </w:r>
      <w:r>
        <w:rPr>
          <w:rFonts w:hint="eastAsia"/>
          <w:lang w:eastAsia="zh-CN"/>
        </w:rPr>
        <w:t>与全市优质粮油食品制造、优质蛋白精深加工、现代皮革加工、特色加工和宠物食品协同发展的农产品加工格局相衔接，</w:t>
      </w:r>
      <w:r>
        <w:rPr>
          <w:lang w:eastAsia="zh-CN"/>
        </w:rPr>
        <w:t>形成“片区承载产业、产业支撑片区”的全域一体化发展格局。</w:t>
      </w:r>
    </w:p>
    <w:p w14:paraId="2C278ACF">
      <w:pPr>
        <w:ind w:firstLine="643"/>
        <w:rPr>
          <w:b/>
          <w:bCs/>
          <w:lang w:eastAsia="zh-CN"/>
        </w:rPr>
      </w:pPr>
      <w:r>
        <w:rPr>
          <w:rFonts w:hint="eastAsia"/>
          <w:b/>
          <w:bCs/>
          <w:lang w:eastAsia="zh-CN"/>
        </w:rPr>
        <w:t>1.五区协同：片区化承载主导产业</w:t>
      </w:r>
    </w:p>
    <w:p w14:paraId="040503BD">
      <w:pPr>
        <w:ind w:firstLine="643"/>
        <w:rPr>
          <w:lang w:eastAsia="zh-CN"/>
        </w:rPr>
      </w:pPr>
      <w:r>
        <w:rPr>
          <w:rFonts w:hint="eastAsia"/>
          <w:b/>
          <w:bCs/>
          <w:lang w:eastAsia="zh-CN"/>
        </w:rPr>
        <w:t>平原精品粮食主产区</w:t>
      </w:r>
      <w:r>
        <w:rPr>
          <w:rFonts w:hint="eastAsia"/>
          <w:lang w:eastAsia="zh-CN"/>
        </w:rPr>
        <w:t>以阜新县中东部平原乡镇和彰武县中南部平原乡镇为核心，立足绕柳平原耕地连片、土壤肥沃、柳河与养息牧河及绕阳河灌溉条件较好的优势，</w:t>
      </w:r>
      <w:r>
        <w:rPr>
          <w:lang w:eastAsia="zh-CN"/>
        </w:rPr>
        <w:t>聚焦玉米、大豆两大主粮品种，将保障粮食安全作为核心任务，统筹实施黑土地保护性耕作与高标准农田建设，全力打造国家级旱作节水农业示范带。</w:t>
      </w:r>
    </w:p>
    <w:p w14:paraId="4F6D29A6">
      <w:pPr>
        <w:ind w:firstLine="643"/>
        <w:rPr>
          <w:lang w:eastAsia="zh-CN"/>
        </w:rPr>
      </w:pPr>
      <w:r>
        <w:rPr>
          <w:rFonts w:hint="eastAsia"/>
          <w:b/>
          <w:bCs/>
          <w:lang w:eastAsia="zh-CN"/>
        </w:rPr>
        <w:t>特色种养产业区</w:t>
      </w:r>
      <w:r>
        <w:rPr>
          <w:rFonts w:hint="eastAsia"/>
          <w:lang w:eastAsia="zh-CN"/>
        </w:rPr>
        <w:t>以阜新县西部及西南部乡镇和彰武县西部乡镇为核心，</w:t>
      </w:r>
      <w:r>
        <w:rPr>
          <w:lang w:eastAsia="zh-CN"/>
        </w:rPr>
        <w:t>衔接国土空间规划南部油料经济作物带、西部杂粮畜牧带布局，立足沙壤耕地资源、沙化耕地治理基础和特色种养传统，壮大花生、杂粮、草食畜牧业三大主导产业，做强老河土花生交易中心和黑豆绿色高质高效基地，延伸精深加工链条，全力建设京津冀优质安全绿色的农畜产品供给基地</w:t>
      </w:r>
      <w:r>
        <w:rPr>
          <w:rFonts w:hint="eastAsia"/>
          <w:lang w:eastAsia="zh-CN"/>
        </w:rPr>
        <w:t>。</w:t>
      </w:r>
    </w:p>
    <w:p w14:paraId="29E3A3CA">
      <w:pPr>
        <w:ind w:firstLine="643"/>
        <w:rPr>
          <w:lang w:eastAsia="zh-CN"/>
        </w:rPr>
      </w:pPr>
      <w:r>
        <w:rPr>
          <w:rFonts w:hint="eastAsia"/>
          <w:b/>
          <w:bCs/>
          <w:lang w:eastAsia="zh-CN"/>
        </w:rPr>
        <w:t>设施农业与林下经济产业区</w:t>
      </w:r>
      <w:r>
        <w:rPr>
          <w:rFonts w:hint="eastAsia"/>
          <w:lang w:eastAsia="zh-CN"/>
        </w:rPr>
        <w:t>以阜新县北部山区乡镇和南部低山区乡镇，以及彰武县北部沙区乡镇为核心，</w:t>
      </w:r>
      <w:r>
        <w:rPr>
          <w:lang w:eastAsia="zh-CN"/>
        </w:rPr>
        <w:t>坚持生态优先、绿色发展，以阜新县福兴地镇万亩设施农业园区、彰武县两家子镇千亩设施农业园区为重点扩大设施果蔬规模，培育“福兴地番茄”“旧庙草莓”等品牌，立足冷凉气候、山地地形和治沙成果，发展道地中药材和林下经济，全力打造精品果蔬与药用植物示范基地</w:t>
      </w:r>
      <w:r>
        <w:rPr>
          <w:rFonts w:hint="eastAsia"/>
          <w:lang w:eastAsia="zh-CN"/>
        </w:rPr>
        <w:t>。</w:t>
      </w:r>
    </w:p>
    <w:p w14:paraId="1D0F5819">
      <w:pPr>
        <w:ind w:firstLine="643"/>
        <w:rPr>
          <w:lang w:eastAsia="zh-CN"/>
        </w:rPr>
      </w:pPr>
      <w:r>
        <w:rPr>
          <w:rFonts w:hint="eastAsia"/>
          <w:b/>
          <w:bCs/>
          <w:lang w:eastAsia="zh-CN"/>
        </w:rPr>
        <w:t>近郊农文旅融合发展区</w:t>
      </w:r>
      <w:r>
        <w:rPr>
          <w:rFonts w:hint="eastAsia"/>
          <w:lang w:eastAsia="zh-CN"/>
        </w:rPr>
        <w:t>以海州区、细河区、太平区、新邱区的城区周边乡镇为核心，</w:t>
      </w:r>
      <w:r>
        <w:rPr>
          <w:lang w:eastAsia="zh-CN"/>
        </w:rPr>
        <w:t>立足近郊区位优势和矿山公园、温泉康养、农家乐风情带等现有景区资源，推动农业与文化、旅游、康养深度融合，发展休闲采摘、农事体验、康养旅游等新业态，联动瑞应寺、海棠山、彰武草原、章古台沙地等市域重点景区，构建“农业+文旅”新业态集群。</w:t>
      </w:r>
    </w:p>
    <w:p w14:paraId="70B37725">
      <w:pPr>
        <w:ind w:firstLine="643"/>
        <w:rPr>
          <w:lang w:eastAsia="zh-CN"/>
        </w:rPr>
      </w:pPr>
      <w:r>
        <w:rPr>
          <w:rFonts w:hint="eastAsia"/>
          <w:b/>
          <w:bCs/>
          <w:lang w:eastAsia="zh-CN"/>
        </w:rPr>
        <w:t>农产品加工集聚示范区</w:t>
      </w:r>
      <w:r>
        <w:rPr>
          <w:lang w:eastAsia="zh-CN"/>
        </w:rPr>
        <w:t>以阜新国家农业科技园区、彰武农副产品精深加工产业基地、阜新高新区农产品深加工产业基地为核心，聚焦粮油、畜禽、果蔬三大产业，升级改造现有园区，完善水、电、路、气、冷链物流等配套设施，打造集农产品精深加工、仓储物流、质量检测、品牌运营于一体的现代化农产品加工集聚区。</w:t>
      </w:r>
    </w:p>
    <w:p w14:paraId="2FEEABE5">
      <w:pPr>
        <w:ind w:firstLine="643"/>
        <w:rPr>
          <w:b/>
          <w:bCs/>
          <w:lang w:eastAsia="zh-CN"/>
        </w:rPr>
      </w:pPr>
      <w:r>
        <w:rPr>
          <w:rFonts w:hint="eastAsia"/>
          <w:b/>
          <w:bCs/>
          <w:lang w:eastAsia="zh-CN"/>
        </w:rPr>
        <w:t>2.一县一策：明确各县区发展定位，推动片区布局落实到行政单元</w:t>
      </w:r>
    </w:p>
    <w:p w14:paraId="724547EE">
      <w:pPr>
        <w:ind w:firstLine="643"/>
        <w:rPr>
          <w:lang w:eastAsia="zh-CN"/>
        </w:rPr>
      </w:pPr>
      <w:r>
        <w:rPr>
          <w:rFonts w:hint="eastAsia"/>
          <w:b/>
          <w:bCs/>
          <w:lang w:eastAsia="zh-CN"/>
        </w:rPr>
        <w:t>阜新县。</w:t>
      </w:r>
      <w:r>
        <w:rPr>
          <w:rFonts w:hint="eastAsia"/>
          <w:lang w:eastAsia="zh-CN"/>
        </w:rPr>
        <w:t>立足国家级农产品主产区定位，以绿色精品农业为基础大力发展农产品精深加工，培育区域公共品牌，深度融合农耕体验与休闲观光。重点做强百万亩花生、优质粮油、肉牛肉羊与生猪养殖、设施果蔬、道地中药材，推进生猪屠宰、乳制品、蒙医药药食同源等精深加工，建设绿色食品加工与乡村休闲观光融合发展区。</w:t>
      </w:r>
    </w:p>
    <w:p w14:paraId="66E56A32">
      <w:pPr>
        <w:ind w:firstLine="643"/>
        <w:rPr>
          <w:lang w:eastAsia="zh-CN"/>
        </w:rPr>
      </w:pPr>
      <w:r>
        <w:rPr>
          <w:rFonts w:hint="eastAsia"/>
          <w:b/>
          <w:bCs/>
          <w:lang w:eastAsia="zh-CN"/>
        </w:rPr>
        <w:t>彰武县。</w:t>
      </w:r>
      <w:r>
        <w:rPr>
          <w:rFonts w:hint="eastAsia"/>
          <w:lang w:eastAsia="zh-CN"/>
        </w:rPr>
        <w:t>立足省级重点生态功能区定位，以科尔沁沙地歼灭战为牵引，建设沙地特色生态农业与绿色食品加工基地。重点推进沙化土地综合治理，发展甘薯、水稻、花生、草食畜牧和林下中草药，做强设施农业园区与农副产品精深加工产业基地，打造面向沈阳现代化都市圈的绿色农产品加工基地，依托漠上草原、章古台沙地森林公园培育生态旅游、健康养生、沙地碳汇等新业态，探索生态产业化、产业生态化路径。</w:t>
      </w:r>
    </w:p>
    <w:p w14:paraId="0A28005F">
      <w:pPr>
        <w:ind w:firstLine="643"/>
        <w:rPr>
          <w:lang w:eastAsia="zh-CN"/>
        </w:rPr>
      </w:pPr>
      <w:r>
        <w:rPr>
          <w:rFonts w:hint="eastAsia"/>
          <w:b/>
          <w:bCs/>
          <w:lang w:eastAsia="zh-CN"/>
        </w:rPr>
        <w:t>海州区。</w:t>
      </w:r>
      <w:r>
        <w:rPr>
          <w:rFonts w:hint="eastAsia"/>
          <w:lang w:eastAsia="zh-CN"/>
        </w:rPr>
        <w:t>依托核心商务区和市民生活服务中心功能，以韩家店镇为重点，发展都市精品农业和休闲采摘、农家乐风情带等近郊业态，完善农产品展销与冷链配送网络，服务城市消费升级。</w:t>
      </w:r>
    </w:p>
    <w:p w14:paraId="3BA2E7D2">
      <w:pPr>
        <w:ind w:firstLine="643"/>
        <w:rPr>
          <w:lang w:eastAsia="zh-CN"/>
        </w:rPr>
      </w:pPr>
      <w:r>
        <w:rPr>
          <w:rFonts w:hint="eastAsia"/>
          <w:b/>
          <w:bCs/>
          <w:lang w:eastAsia="zh-CN"/>
        </w:rPr>
        <w:t>细河区。</w:t>
      </w:r>
      <w:r>
        <w:rPr>
          <w:rFonts w:hint="eastAsia"/>
          <w:lang w:eastAsia="zh-CN"/>
        </w:rPr>
        <w:t>发挥城市会客厅和玉龙新城现代服务业集聚优势，以四合镇农文旅融合发展为抓手，推进黄家沟村、太平沟村土地综合整治，发展都市农业、休闲研学与预制调理食品加工，打造城乡融合与农文旅融合示范区。</w:t>
      </w:r>
    </w:p>
    <w:p w14:paraId="73A43CAD">
      <w:pPr>
        <w:ind w:firstLine="643"/>
        <w:rPr>
          <w:lang w:eastAsia="zh-CN"/>
        </w:rPr>
      </w:pPr>
      <w:r>
        <w:rPr>
          <w:rFonts w:hint="eastAsia"/>
          <w:b/>
          <w:bCs/>
          <w:lang w:eastAsia="zh-CN"/>
        </w:rPr>
        <w:t>太平区。</w:t>
      </w:r>
      <w:r>
        <w:rPr>
          <w:rFonts w:hint="eastAsia"/>
          <w:lang w:eastAsia="zh-CN"/>
        </w:rPr>
        <w:t>以海州露天矿国家矿山公园为核心推动农文旅体商融合，以水泉镇为重点发展近郊休闲农业和生态采摘，服务城市活力区建设。</w:t>
      </w:r>
    </w:p>
    <w:p w14:paraId="7EB8AD6F">
      <w:pPr>
        <w:ind w:firstLine="643"/>
        <w:rPr>
          <w:lang w:eastAsia="zh-CN"/>
        </w:rPr>
      </w:pPr>
      <w:r>
        <w:rPr>
          <w:rFonts w:hint="eastAsia"/>
          <w:b/>
          <w:bCs/>
          <w:lang w:eastAsia="zh-CN"/>
        </w:rPr>
        <w:t>新邱区。</w:t>
      </w:r>
      <w:r>
        <w:rPr>
          <w:rFonts w:hint="eastAsia"/>
          <w:lang w:eastAsia="zh-CN"/>
        </w:rPr>
        <w:t>结合百里矿区生态恢复带建设，以长营子镇为重点推进工矿废弃地复垦与生态修复，发展设施农业和生态观光农业，探索矿区生态产业化、产业生态化路径。</w:t>
      </w:r>
    </w:p>
    <w:p w14:paraId="0DE26D72">
      <w:pPr>
        <w:ind w:firstLine="643"/>
        <w:rPr>
          <w:lang w:eastAsia="zh-CN"/>
        </w:rPr>
      </w:pPr>
      <w:r>
        <w:rPr>
          <w:rFonts w:hint="eastAsia"/>
          <w:b/>
          <w:bCs/>
          <w:lang w:eastAsia="zh-CN"/>
        </w:rPr>
        <w:t>清河门区。</w:t>
      </w:r>
      <w:r>
        <w:rPr>
          <w:rFonts w:hint="eastAsia"/>
          <w:lang w:eastAsia="zh-CN"/>
        </w:rPr>
        <w:t>依托皮革全产业链基础与锦州港核心内陆港功能，重点发展肉牛肉羊屠宰深加工和畜产品进出口物流，建设皮革加工与畜产品加工协同发展区。</w:t>
      </w:r>
    </w:p>
    <w:p w14:paraId="428D541A">
      <w:pPr>
        <w:ind w:firstLine="643"/>
        <w:rPr>
          <w:lang w:eastAsia="zh-CN"/>
        </w:rPr>
      </w:pPr>
      <w:r>
        <w:rPr>
          <w:rFonts w:hint="eastAsia"/>
          <w:b/>
          <w:bCs/>
          <w:lang w:eastAsia="zh-CN"/>
        </w:rPr>
        <w:t>高新区</w:t>
      </w:r>
      <w:r>
        <w:rPr>
          <w:rFonts w:hint="eastAsia"/>
          <w:lang w:eastAsia="zh-CN"/>
        </w:rPr>
        <w:t>。立足国家级高新区和国家级农业科技园区优势，聚焦绿色食品产业，重点发展高端杂粮及调味品、城市厨房与中央厨房、大豆功能食品、功能性食品和宠物食品，打造农业科技研发、成果转化与绿色食品精深加工创新高地。</w:t>
      </w:r>
    </w:p>
    <w:p w14:paraId="42E0514C">
      <w:pPr>
        <w:pStyle w:val="3"/>
        <w:ind w:firstLine="643"/>
        <w:rPr>
          <w:lang w:eastAsia="zh-CN"/>
        </w:rPr>
      </w:pPr>
      <w:r>
        <w:rPr>
          <w:rFonts w:hint="eastAsia"/>
          <w:lang w:eastAsia="zh-CN"/>
        </w:rPr>
        <w:t>（四）</w:t>
      </w:r>
      <w:r>
        <w:rPr>
          <w:lang w:eastAsia="zh-CN"/>
        </w:rPr>
        <w:t>发展目标</w:t>
      </w:r>
    </w:p>
    <w:p w14:paraId="329BA102">
      <w:pPr>
        <w:ind w:firstLine="640"/>
        <w:rPr>
          <w:lang w:eastAsia="zh-CN"/>
        </w:rPr>
      </w:pPr>
      <w:r>
        <w:rPr>
          <w:lang w:eastAsia="zh-CN"/>
        </w:rPr>
        <w:t>到2030年，农业强市建设取得决定性进展，农业农村现代化水平显著提升，成为全省农业高质量发展标杆、全国生态循环农业典范。</w:t>
      </w:r>
    </w:p>
    <w:p w14:paraId="177C9FBF">
      <w:pPr>
        <w:ind w:firstLine="643"/>
        <w:rPr>
          <w:lang w:eastAsia="zh-CN"/>
        </w:rPr>
      </w:pPr>
      <w:r>
        <w:rPr>
          <w:rFonts w:hint="eastAsia"/>
          <w:b/>
          <w:bCs/>
          <w:lang w:eastAsia="zh-CN"/>
        </w:rPr>
        <w:t>粮食安全保障能力稳步提升，</w:t>
      </w:r>
      <w:r>
        <w:rPr>
          <w:rFonts w:hint="eastAsia"/>
          <w:lang w:eastAsia="zh-CN"/>
        </w:rPr>
        <w:t>全市粮食播种面积稳定560万亩以上、粮食产量稳定在55亿斤左右，高标准农田、机械化建设成效突出，完成全域沙化耕地治理，粮食综合产能稳居全省前列。</w:t>
      </w:r>
      <w:r>
        <w:rPr>
          <w:rFonts w:hint="eastAsia"/>
          <w:b/>
          <w:bCs/>
          <w:lang w:eastAsia="zh-CN"/>
        </w:rPr>
        <w:t>产业发展能级显著增强，</w:t>
      </w:r>
      <w:r>
        <w:rPr>
          <w:rFonts w:hint="eastAsia"/>
          <w:lang w:eastAsia="zh-CN"/>
        </w:rPr>
        <w:t>花生、甘薯、畜禽、设施蔬菜特色产业成型壮大，农产品加工、休闲农业协同增效，种养加销游一体化全产业链体系成熟完备。</w:t>
      </w:r>
      <w:r>
        <w:rPr>
          <w:rFonts w:hint="eastAsia"/>
          <w:b/>
          <w:bCs/>
          <w:lang w:eastAsia="zh-CN"/>
        </w:rPr>
        <w:t>生态建设成效凸显，</w:t>
      </w:r>
      <w:r>
        <w:rPr>
          <w:rFonts w:hint="eastAsia"/>
          <w:lang w:eastAsia="zh-CN"/>
        </w:rPr>
        <w:t>科尔沁沙地歼灭战成果持续巩固，林草生态屏障持续筑牢，化肥农药减量、畜禽粪污资源化利用全面落地，生态与产业双向互促格局基本形成。</w:t>
      </w:r>
      <w:r>
        <w:rPr>
          <w:rFonts w:hint="eastAsia"/>
          <w:b/>
          <w:bCs/>
          <w:lang w:eastAsia="zh-CN"/>
        </w:rPr>
        <w:t>农业科技装备水平显著增强，</w:t>
      </w:r>
      <w:r>
        <w:rPr>
          <w:rFonts w:hint="eastAsia"/>
          <w:lang w:eastAsia="zh-CN"/>
        </w:rPr>
        <w:t>农业科技进步贡献率达标，花生、玉米良种繁育体系成型，良种实现全覆盖，智能农机、数字种养装备在各产业广泛普及落地。</w:t>
      </w:r>
      <w:r>
        <w:rPr>
          <w:rFonts w:hint="eastAsia"/>
          <w:b/>
          <w:bCs/>
          <w:lang w:eastAsia="zh-CN"/>
        </w:rPr>
        <w:t>乡村建设水平全面提质，</w:t>
      </w:r>
      <w:r>
        <w:rPr>
          <w:rFonts w:hint="eastAsia"/>
          <w:lang w:eastAsia="zh-CN"/>
        </w:rPr>
        <w:t>农村道路、供水、物流等基础设施全域覆盖，人居环境整治长效运行，农膜、秸秆资源化高效利用，美丽乡村示范覆盖面持续扩大。</w:t>
      </w:r>
      <w:r>
        <w:rPr>
          <w:rFonts w:hint="eastAsia"/>
          <w:b/>
          <w:bCs/>
          <w:lang w:eastAsia="zh-CN"/>
        </w:rPr>
        <w:t>民生保障福祉持续增进，</w:t>
      </w:r>
      <w:r>
        <w:rPr>
          <w:rFonts w:hint="eastAsia"/>
          <w:lang w:eastAsia="zh-CN"/>
        </w:rPr>
        <w:t>农村收入增速领先地区经济增长，城乡收入差距稳步收窄，医疗、养老、文教均等化供给提质增效，党建引领三治融合治理体系不断完善。</w:t>
      </w:r>
    </w:p>
    <w:p w14:paraId="230929F2">
      <w:pPr>
        <w:ind w:firstLine="562"/>
        <w:rPr>
          <w:b/>
          <w:bCs/>
          <w:sz w:val="28"/>
          <w:szCs w:val="28"/>
          <w:lang w:eastAsia="zh-CN"/>
        </w:rPr>
      </w:pPr>
      <w:r>
        <w:rPr>
          <w:rFonts w:hint="eastAsia"/>
          <w:b/>
          <w:bCs/>
          <w:sz w:val="28"/>
          <w:szCs w:val="28"/>
          <w:lang w:eastAsia="zh-CN"/>
        </w:rPr>
        <w:t>专栏1阜新市</w:t>
      </w:r>
      <w:r>
        <w:rPr>
          <w:b/>
          <w:bCs/>
          <w:sz w:val="28"/>
          <w:szCs w:val="28"/>
          <w:lang w:eastAsia="zh-CN"/>
        </w:rPr>
        <w:t>“十五五”加快推进农业农村现代化规划指标</w:t>
      </w:r>
    </w:p>
    <w:tbl>
      <w:tblPr>
        <w:tblStyle w:val="17"/>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912"/>
        <w:gridCol w:w="1057"/>
        <w:gridCol w:w="1134"/>
        <w:gridCol w:w="1158"/>
        <w:gridCol w:w="1394"/>
      </w:tblGrid>
      <w:tr w14:paraId="5D9D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19AEE4D">
            <w:pPr>
              <w:pStyle w:val="45"/>
              <w:jc w:val="center"/>
              <w:rPr>
                <w:b/>
                <w:bCs/>
              </w:rPr>
            </w:pPr>
            <w:r>
              <w:rPr>
                <w:b/>
                <w:bCs/>
              </w:rPr>
              <w:t>序号</w:t>
            </w:r>
          </w:p>
        </w:tc>
        <w:tc>
          <w:tcPr>
            <w:tcW w:w="2912" w:type="dxa"/>
            <w:vAlign w:val="center"/>
          </w:tcPr>
          <w:p w14:paraId="1FB4BB18">
            <w:pPr>
              <w:pStyle w:val="45"/>
              <w:jc w:val="center"/>
              <w:rPr>
                <w:b/>
                <w:bCs/>
              </w:rPr>
            </w:pPr>
            <w:r>
              <w:rPr>
                <w:b/>
                <w:bCs/>
              </w:rPr>
              <w:t>指标</w:t>
            </w:r>
          </w:p>
        </w:tc>
        <w:tc>
          <w:tcPr>
            <w:tcW w:w="1057" w:type="dxa"/>
            <w:vAlign w:val="center"/>
          </w:tcPr>
          <w:p w14:paraId="737A4741">
            <w:pPr>
              <w:pStyle w:val="45"/>
              <w:jc w:val="center"/>
              <w:rPr>
                <w:b/>
                <w:bCs/>
              </w:rPr>
            </w:pPr>
            <w:r>
              <w:rPr>
                <w:b/>
                <w:bCs/>
              </w:rPr>
              <w:t>单位</w:t>
            </w:r>
          </w:p>
        </w:tc>
        <w:tc>
          <w:tcPr>
            <w:tcW w:w="1134" w:type="dxa"/>
            <w:vAlign w:val="center"/>
          </w:tcPr>
          <w:p w14:paraId="350C8A04">
            <w:pPr>
              <w:pStyle w:val="45"/>
              <w:jc w:val="center"/>
              <w:rPr>
                <w:b/>
                <w:bCs/>
              </w:rPr>
            </w:pPr>
            <w:r>
              <w:rPr>
                <w:b/>
                <w:bCs/>
              </w:rPr>
              <w:t>2025年基准值</w:t>
            </w:r>
          </w:p>
        </w:tc>
        <w:tc>
          <w:tcPr>
            <w:tcW w:w="1158" w:type="dxa"/>
            <w:vAlign w:val="center"/>
          </w:tcPr>
          <w:p w14:paraId="3D17899B">
            <w:pPr>
              <w:pStyle w:val="45"/>
              <w:jc w:val="center"/>
              <w:rPr>
                <w:b/>
                <w:bCs/>
              </w:rPr>
            </w:pPr>
            <w:r>
              <w:rPr>
                <w:b/>
                <w:bCs/>
              </w:rPr>
              <w:t>2030年目标值</w:t>
            </w:r>
          </w:p>
        </w:tc>
        <w:tc>
          <w:tcPr>
            <w:tcW w:w="1394" w:type="dxa"/>
            <w:vAlign w:val="center"/>
          </w:tcPr>
          <w:p w14:paraId="4B06C418">
            <w:pPr>
              <w:pStyle w:val="45"/>
              <w:jc w:val="center"/>
              <w:rPr>
                <w:b/>
                <w:bCs/>
              </w:rPr>
            </w:pPr>
            <w:r>
              <w:rPr>
                <w:b/>
                <w:bCs/>
              </w:rPr>
              <w:t>指标属性</w:t>
            </w:r>
          </w:p>
        </w:tc>
      </w:tr>
      <w:tr w14:paraId="33535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295DE70">
            <w:pPr>
              <w:pStyle w:val="45"/>
              <w:jc w:val="center"/>
            </w:pPr>
            <w:r>
              <w:t>1</w:t>
            </w:r>
          </w:p>
        </w:tc>
        <w:tc>
          <w:tcPr>
            <w:tcW w:w="2912" w:type="dxa"/>
            <w:vAlign w:val="center"/>
          </w:tcPr>
          <w:p w14:paraId="4A83205D">
            <w:pPr>
              <w:pStyle w:val="45"/>
              <w:jc w:val="center"/>
            </w:pPr>
            <w:r>
              <w:t>粮食综合生产能力</w:t>
            </w:r>
          </w:p>
        </w:tc>
        <w:tc>
          <w:tcPr>
            <w:tcW w:w="1057" w:type="dxa"/>
            <w:vAlign w:val="center"/>
          </w:tcPr>
          <w:p w14:paraId="237D7A0A">
            <w:pPr>
              <w:pStyle w:val="45"/>
              <w:jc w:val="center"/>
            </w:pPr>
            <w:r>
              <w:t>亿斤</w:t>
            </w:r>
          </w:p>
        </w:tc>
        <w:tc>
          <w:tcPr>
            <w:tcW w:w="1134" w:type="dxa"/>
            <w:vAlign w:val="center"/>
          </w:tcPr>
          <w:p w14:paraId="1FBF8B7B">
            <w:pPr>
              <w:pStyle w:val="45"/>
              <w:jc w:val="center"/>
              <w:rPr>
                <w:lang w:eastAsia="zh-CN"/>
              </w:rPr>
            </w:pPr>
            <w:r>
              <w:rPr>
                <w:rFonts w:hint="eastAsia"/>
                <w:lang w:eastAsia="zh-CN"/>
              </w:rPr>
              <w:t>54.2</w:t>
            </w:r>
          </w:p>
        </w:tc>
        <w:tc>
          <w:tcPr>
            <w:tcW w:w="1158" w:type="dxa"/>
            <w:vAlign w:val="center"/>
          </w:tcPr>
          <w:p w14:paraId="1256A9DB">
            <w:pPr>
              <w:pStyle w:val="45"/>
              <w:jc w:val="center"/>
            </w:pPr>
            <w:r>
              <w:t>55</w:t>
            </w:r>
          </w:p>
        </w:tc>
        <w:tc>
          <w:tcPr>
            <w:tcW w:w="1394" w:type="dxa"/>
            <w:vAlign w:val="center"/>
          </w:tcPr>
          <w:p w14:paraId="21BEE491">
            <w:pPr>
              <w:pStyle w:val="45"/>
              <w:jc w:val="center"/>
            </w:pPr>
            <w:r>
              <w:t>预期性</w:t>
            </w:r>
          </w:p>
        </w:tc>
      </w:tr>
      <w:tr w14:paraId="3E37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25C0ED">
            <w:pPr>
              <w:pStyle w:val="45"/>
              <w:jc w:val="center"/>
            </w:pPr>
            <w:r>
              <w:t>2</w:t>
            </w:r>
          </w:p>
        </w:tc>
        <w:tc>
          <w:tcPr>
            <w:tcW w:w="2912" w:type="dxa"/>
            <w:vAlign w:val="center"/>
          </w:tcPr>
          <w:p w14:paraId="0666F6FA">
            <w:pPr>
              <w:pStyle w:val="45"/>
              <w:jc w:val="center"/>
            </w:pPr>
            <w:r>
              <w:t>粮食播种面积</w:t>
            </w:r>
          </w:p>
        </w:tc>
        <w:tc>
          <w:tcPr>
            <w:tcW w:w="1057" w:type="dxa"/>
            <w:vAlign w:val="center"/>
          </w:tcPr>
          <w:p w14:paraId="371D951C">
            <w:pPr>
              <w:pStyle w:val="45"/>
              <w:jc w:val="center"/>
            </w:pPr>
            <w:r>
              <w:t>万亩</w:t>
            </w:r>
          </w:p>
        </w:tc>
        <w:tc>
          <w:tcPr>
            <w:tcW w:w="1134" w:type="dxa"/>
            <w:vAlign w:val="center"/>
          </w:tcPr>
          <w:p w14:paraId="04EE272C">
            <w:pPr>
              <w:pStyle w:val="45"/>
              <w:jc w:val="center"/>
              <w:rPr>
                <w:lang w:eastAsia="zh-CN"/>
              </w:rPr>
            </w:pPr>
            <w:r>
              <w:t>5</w:t>
            </w:r>
            <w:r>
              <w:rPr>
                <w:rFonts w:hint="eastAsia"/>
                <w:lang w:eastAsia="zh-CN"/>
              </w:rPr>
              <w:t>60</w:t>
            </w:r>
          </w:p>
        </w:tc>
        <w:tc>
          <w:tcPr>
            <w:tcW w:w="1158" w:type="dxa"/>
            <w:vAlign w:val="center"/>
          </w:tcPr>
          <w:p w14:paraId="3F6167D9">
            <w:pPr>
              <w:pStyle w:val="45"/>
              <w:jc w:val="center"/>
            </w:pPr>
            <w:r>
              <w:rPr>
                <w:rFonts w:hint="eastAsia"/>
                <w:lang w:eastAsia="zh-CN"/>
              </w:rPr>
              <w:t>＞</w:t>
            </w:r>
            <w:r>
              <w:t>560</w:t>
            </w:r>
          </w:p>
        </w:tc>
        <w:tc>
          <w:tcPr>
            <w:tcW w:w="1394" w:type="dxa"/>
            <w:vAlign w:val="center"/>
          </w:tcPr>
          <w:p w14:paraId="16D9D7C3">
            <w:pPr>
              <w:pStyle w:val="45"/>
              <w:jc w:val="center"/>
            </w:pPr>
            <w:r>
              <w:t>约束性</w:t>
            </w:r>
          </w:p>
        </w:tc>
      </w:tr>
      <w:tr w14:paraId="40BD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FC1A45D">
            <w:pPr>
              <w:pStyle w:val="45"/>
              <w:jc w:val="center"/>
            </w:pPr>
            <w:r>
              <w:t>3</w:t>
            </w:r>
          </w:p>
        </w:tc>
        <w:tc>
          <w:tcPr>
            <w:tcW w:w="2912" w:type="dxa"/>
            <w:vAlign w:val="center"/>
          </w:tcPr>
          <w:p w14:paraId="22CB7215">
            <w:pPr>
              <w:pStyle w:val="45"/>
              <w:jc w:val="center"/>
            </w:pPr>
            <w:r>
              <w:t>肉类总产量</w:t>
            </w:r>
          </w:p>
        </w:tc>
        <w:tc>
          <w:tcPr>
            <w:tcW w:w="1057" w:type="dxa"/>
            <w:vAlign w:val="center"/>
          </w:tcPr>
          <w:p w14:paraId="71E4517D">
            <w:pPr>
              <w:pStyle w:val="45"/>
              <w:jc w:val="center"/>
            </w:pPr>
            <w:r>
              <w:t>万吨</w:t>
            </w:r>
          </w:p>
        </w:tc>
        <w:tc>
          <w:tcPr>
            <w:tcW w:w="1134" w:type="dxa"/>
            <w:vAlign w:val="center"/>
          </w:tcPr>
          <w:p w14:paraId="5F171BA6">
            <w:pPr>
              <w:pStyle w:val="45"/>
              <w:jc w:val="center"/>
              <w:rPr>
                <w:lang w:eastAsia="zh-CN"/>
              </w:rPr>
            </w:pPr>
            <w:r>
              <w:rPr>
                <w:rFonts w:hint="eastAsia"/>
                <w:lang w:eastAsia="zh-CN"/>
              </w:rPr>
              <w:t>53.17</w:t>
            </w:r>
          </w:p>
        </w:tc>
        <w:tc>
          <w:tcPr>
            <w:tcW w:w="1158" w:type="dxa"/>
            <w:vAlign w:val="center"/>
          </w:tcPr>
          <w:p w14:paraId="148C973C">
            <w:pPr>
              <w:pStyle w:val="45"/>
              <w:jc w:val="center"/>
              <w:rPr>
                <w:lang w:eastAsia="zh-CN"/>
              </w:rPr>
            </w:pPr>
            <w:r>
              <w:rPr>
                <w:rFonts w:hint="eastAsia"/>
                <w:lang w:eastAsia="zh-CN"/>
              </w:rPr>
              <w:t>58.7</w:t>
            </w:r>
          </w:p>
        </w:tc>
        <w:tc>
          <w:tcPr>
            <w:tcW w:w="1394" w:type="dxa"/>
            <w:vAlign w:val="center"/>
          </w:tcPr>
          <w:p w14:paraId="709289CC">
            <w:pPr>
              <w:pStyle w:val="45"/>
              <w:jc w:val="center"/>
            </w:pPr>
            <w:r>
              <w:t>预期性</w:t>
            </w:r>
          </w:p>
        </w:tc>
      </w:tr>
      <w:tr w14:paraId="7953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99AB785">
            <w:pPr>
              <w:pStyle w:val="45"/>
              <w:jc w:val="center"/>
              <w:rPr>
                <w:color w:val="auto"/>
                <w:lang w:eastAsia="zh-CN"/>
              </w:rPr>
            </w:pPr>
            <w:r>
              <w:rPr>
                <w:rFonts w:hint="eastAsia"/>
                <w:color w:val="auto"/>
                <w:lang w:eastAsia="zh-CN"/>
              </w:rPr>
              <w:t>4</w:t>
            </w:r>
          </w:p>
        </w:tc>
        <w:tc>
          <w:tcPr>
            <w:tcW w:w="2912" w:type="dxa"/>
            <w:vAlign w:val="center"/>
          </w:tcPr>
          <w:p w14:paraId="7F7F3225">
            <w:pPr>
              <w:pStyle w:val="45"/>
              <w:jc w:val="center"/>
              <w:rPr>
                <w:color w:val="auto"/>
                <w:lang w:eastAsia="zh-CN"/>
              </w:rPr>
            </w:pPr>
            <w:r>
              <w:rPr>
                <w:color w:val="auto"/>
                <w:lang w:eastAsia="zh-CN"/>
              </w:rPr>
              <w:t>农产品加工业与农业总产值比</w:t>
            </w:r>
          </w:p>
        </w:tc>
        <w:tc>
          <w:tcPr>
            <w:tcW w:w="1057" w:type="dxa"/>
            <w:vAlign w:val="center"/>
          </w:tcPr>
          <w:p w14:paraId="4DB3A48F">
            <w:pPr>
              <w:pStyle w:val="45"/>
              <w:jc w:val="center"/>
              <w:rPr>
                <w:color w:val="auto"/>
              </w:rPr>
            </w:pPr>
            <w:r>
              <w:rPr>
                <w:color w:val="auto"/>
              </w:rPr>
              <w:t>—</w:t>
            </w:r>
          </w:p>
        </w:tc>
        <w:tc>
          <w:tcPr>
            <w:tcW w:w="1134" w:type="dxa"/>
            <w:vAlign w:val="center"/>
          </w:tcPr>
          <w:p w14:paraId="7FBCEA2C">
            <w:pPr>
              <w:pStyle w:val="45"/>
              <w:jc w:val="center"/>
              <w:rPr>
                <w:color w:val="auto"/>
              </w:rPr>
            </w:pPr>
            <w:r>
              <w:rPr>
                <w:rFonts w:hint="eastAsia"/>
                <w:color w:val="auto"/>
                <w:lang w:eastAsia="zh-CN"/>
              </w:rPr>
              <w:t>2.3</w:t>
            </w:r>
          </w:p>
        </w:tc>
        <w:tc>
          <w:tcPr>
            <w:tcW w:w="1158" w:type="dxa"/>
            <w:vAlign w:val="center"/>
          </w:tcPr>
          <w:p w14:paraId="0D708D3A">
            <w:pPr>
              <w:pStyle w:val="45"/>
              <w:jc w:val="center"/>
              <w:rPr>
                <w:color w:val="auto"/>
              </w:rPr>
            </w:pPr>
            <w:r>
              <w:rPr>
                <w:rFonts w:hint="eastAsia"/>
                <w:color w:val="auto"/>
                <w:lang w:eastAsia="zh-CN"/>
              </w:rPr>
              <w:t>2.8</w:t>
            </w:r>
          </w:p>
        </w:tc>
        <w:tc>
          <w:tcPr>
            <w:tcW w:w="1394" w:type="dxa"/>
            <w:vAlign w:val="center"/>
          </w:tcPr>
          <w:p w14:paraId="31E6ABA2">
            <w:pPr>
              <w:pStyle w:val="45"/>
              <w:jc w:val="center"/>
              <w:rPr>
                <w:color w:val="auto"/>
              </w:rPr>
            </w:pPr>
            <w:r>
              <w:rPr>
                <w:color w:val="auto"/>
              </w:rPr>
              <w:t>预期性</w:t>
            </w:r>
          </w:p>
        </w:tc>
      </w:tr>
      <w:tr w14:paraId="4B4C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605F3E">
            <w:pPr>
              <w:pStyle w:val="45"/>
              <w:jc w:val="center"/>
              <w:rPr>
                <w:color w:val="auto"/>
                <w:lang w:eastAsia="zh-CN"/>
              </w:rPr>
            </w:pPr>
            <w:r>
              <w:rPr>
                <w:rFonts w:hint="eastAsia"/>
                <w:color w:val="auto"/>
                <w:lang w:eastAsia="zh-CN"/>
              </w:rPr>
              <w:t>5</w:t>
            </w:r>
          </w:p>
        </w:tc>
        <w:tc>
          <w:tcPr>
            <w:tcW w:w="2912" w:type="dxa"/>
            <w:vAlign w:val="center"/>
          </w:tcPr>
          <w:p w14:paraId="51329587">
            <w:pPr>
              <w:pStyle w:val="45"/>
              <w:jc w:val="center"/>
              <w:rPr>
                <w:color w:val="auto"/>
              </w:rPr>
            </w:pPr>
            <w:r>
              <w:rPr>
                <w:color w:val="auto"/>
              </w:rPr>
              <w:t>高标准农田面积</w:t>
            </w:r>
          </w:p>
        </w:tc>
        <w:tc>
          <w:tcPr>
            <w:tcW w:w="1057" w:type="dxa"/>
            <w:vAlign w:val="center"/>
          </w:tcPr>
          <w:p w14:paraId="1C9F4B3D">
            <w:pPr>
              <w:pStyle w:val="45"/>
              <w:jc w:val="center"/>
              <w:rPr>
                <w:color w:val="auto"/>
              </w:rPr>
            </w:pPr>
            <w:r>
              <w:rPr>
                <w:color w:val="auto"/>
              </w:rPr>
              <w:t>万亩</w:t>
            </w:r>
          </w:p>
        </w:tc>
        <w:tc>
          <w:tcPr>
            <w:tcW w:w="1134" w:type="dxa"/>
            <w:vAlign w:val="center"/>
          </w:tcPr>
          <w:p w14:paraId="26162BEB">
            <w:pPr>
              <w:pStyle w:val="45"/>
              <w:jc w:val="center"/>
              <w:rPr>
                <w:color w:val="auto"/>
                <w:lang w:eastAsia="zh-CN"/>
              </w:rPr>
            </w:pPr>
            <w:r>
              <w:rPr>
                <w:rFonts w:hint="eastAsia"/>
                <w:color w:val="auto"/>
                <w:lang w:eastAsia="zh-CN"/>
              </w:rPr>
              <w:t>425</w:t>
            </w:r>
          </w:p>
        </w:tc>
        <w:tc>
          <w:tcPr>
            <w:tcW w:w="1158" w:type="dxa"/>
            <w:vAlign w:val="center"/>
          </w:tcPr>
          <w:p w14:paraId="3B9F9829">
            <w:pPr>
              <w:pStyle w:val="45"/>
              <w:jc w:val="center"/>
              <w:rPr>
                <w:color w:val="auto"/>
                <w:lang w:eastAsia="zh-CN"/>
              </w:rPr>
            </w:pPr>
            <w:r>
              <w:rPr>
                <w:rFonts w:hint="eastAsia"/>
                <w:color w:val="auto"/>
                <w:lang w:eastAsia="zh-CN"/>
              </w:rPr>
              <w:t>575</w:t>
            </w:r>
          </w:p>
        </w:tc>
        <w:tc>
          <w:tcPr>
            <w:tcW w:w="1394" w:type="dxa"/>
            <w:vAlign w:val="center"/>
          </w:tcPr>
          <w:p w14:paraId="749D22CD">
            <w:pPr>
              <w:pStyle w:val="45"/>
              <w:jc w:val="center"/>
              <w:rPr>
                <w:color w:val="auto"/>
              </w:rPr>
            </w:pPr>
            <w:r>
              <w:rPr>
                <w:color w:val="auto"/>
              </w:rPr>
              <w:t>预期性</w:t>
            </w:r>
          </w:p>
        </w:tc>
      </w:tr>
      <w:tr w14:paraId="693A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3C74B91">
            <w:pPr>
              <w:pStyle w:val="45"/>
              <w:jc w:val="center"/>
              <w:rPr>
                <w:color w:val="auto"/>
              </w:rPr>
            </w:pPr>
            <w:r>
              <w:rPr>
                <w:color w:val="auto"/>
              </w:rPr>
              <w:t>6</w:t>
            </w:r>
          </w:p>
        </w:tc>
        <w:tc>
          <w:tcPr>
            <w:tcW w:w="2912" w:type="dxa"/>
            <w:vAlign w:val="center"/>
          </w:tcPr>
          <w:p w14:paraId="6FAAD755">
            <w:pPr>
              <w:pStyle w:val="45"/>
              <w:jc w:val="center"/>
              <w:rPr>
                <w:color w:val="auto"/>
                <w:lang w:eastAsia="zh-CN"/>
              </w:rPr>
            </w:pPr>
            <w:r>
              <w:rPr>
                <w:color w:val="auto"/>
                <w:lang w:eastAsia="zh-CN"/>
              </w:rPr>
              <w:t>农作物耕种收综合机械化率</w:t>
            </w:r>
          </w:p>
        </w:tc>
        <w:tc>
          <w:tcPr>
            <w:tcW w:w="1057" w:type="dxa"/>
            <w:vAlign w:val="center"/>
          </w:tcPr>
          <w:p w14:paraId="0813DA08">
            <w:pPr>
              <w:pStyle w:val="45"/>
              <w:jc w:val="center"/>
              <w:rPr>
                <w:color w:val="auto"/>
              </w:rPr>
            </w:pPr>
            <w:r>
              <w:rPr>
                <w:color w:val="auto"/>
              </w:rPr>
              <w:t>%</w:t>
            </w:r>
          </w:p>
        </w:tc>
        <w:tc>
          <w:tcPr>
            <w:tcW w:w="1134" w:type="dxa"/>
            <w:vAlign w:val="center"/>
          </w:tcPr>
          <w:p w14:paraId="7CA02C03">
            <w:pPr>
              <w:pStyle w:val="45"/>
              <w:jc w:val="center"/>
              <w:rPr>
                <w:color w:val="auto"/>
              </w:rPr>
            </w:pPr>
            <w:r>
              <w:rPr>
                <w:color w:val="auto"/>
              </w:rPr>
              <w:t>94.3</w:t>
            </w:r>
          </w:p>
        </w:tc>
        <w:tc>
          <w:tcPr>
            <w:tcW w:w="1158" w:type="dxa"/>
            <w:vAlign w:val="center"/>
          </w:tcPr>
          <w:p w14:paraId="27C55764">
            <w:pPr>
              <w:pStyle w:val="45"/>
              <w:jc w:val="center"/>
              <w:rPr>
                <w:color w:val="auto"/>
                <w:lang w:eastAsia="zh-CN"/>
              </w:rPr>
            </w:pPr>
            <w:r>
              <w:rPr>
                <w:rFonts w:hint="eastAsia"/>
                <w:color w:val="auto"/>
                <w:lang w:eastAsia="zh-CN"/>
              </w:rPr>
              <w:t>94.5</w:t>
            </w:r>
          </w:p>
        </w:tc>
        <w:tc>
          <w:tcPr>
            <w:tcW w:w="1394" w:type="dxa"/>
            <w:vAlign w:val="center"/>
          </w:tcPr>
          <w:p w14:paraId="58B66B2C">
            <w:pPr>
              <w:pStyle w:val="45"/>
              <w:jc w:val="center"/>
              <w:rPr>
                <w:color w:val="auto"/>
              </w:rPr>
            </w:pPr>
            <w:r>
              <w:rPr>
                <w:color w:val="auto"/>
              </w:rPr>
              <w:t>预期性</w:t>
            </w:r>
          </w:p>
        </w:tc>
      </w:tr>
      <w:tr w14:paraId="182F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EB40F61">
            <w:pPr>
              <w:pStyle w:val="45"/>
              <w:jc w:val="center"/>
              <w:rPr>
                <w:color w:val="auto"/>
              </w:rPr>
            </w:pPr>
            <w:r>
              <w:rPr>
                <w:color w:val="auto"/>
              </w:rPr>
              <w:t>7</w:t>
            </w:r>
          </w:p>
        </w:tc>
        <w:tc>
          <w:tcPr>
            <w:tcW w:w="2912" w:type="dxa"/>
            <w:vAlign w:val="center"/>
          </w:tcPr>
          <w:p w14:paraId="5CBEF938">
            <w:pPr>
              <w:pStyle w:val="45"/>
              <w:jc w:val="center"/>
              <w:rPr>
                <w:color w:val="auto"/>
              </w:rPr>
            </w:pPr>
            <w:r>
              <w:rPr>
                <w:color w:val="auto"/>
              </w:rPr>
              <w:t>农业科技进步贡献率</w:t>
            </w:r>
          </w:p>
        </w:tc>
        <w:tc>
          <w:tcPr>
            <w:tcW w:w="1057" w:type="dxa"/>
            <w:vAlign w:val="center"/>
          </w:tcPr>
          <w:p w14:paraId="256BB249">
            <w:pPr>
              <w:pStyle w:val="45"/>
              <w:jc w:val="center"/>
              <w:rPr>
                <w:color w:val="auto"/>
              </w:rPr>
            </w:pPr>
            <w:r>
              <w:rPr>
                <w:color w:val="auto"/>
              </w:rPr>
              <w:t>%</w:t>
            </w:r>
          </w:p>
        </w:tc>
        <w:tc>
          <w:tcPr>
            <w:tcW w:w="1134" w:type="dxa"/>
            <w:vAlign w:val="center"/>
          </w:tcPr>
          <w:p w14:paraId="2FA3654D">
            <w:pPr>
              <w:pStyle w:val="45"/>
              <w:jc w:val="center"/>
              <w:rPr>
                <w:color w:val="auto"/>
              </w:rPr>
            </w:pPr>
            <w:r>
              <w:rPr>
                <w:color w:val="auto"/>
              </w:rPr>
              <w:t>55</w:t>
            </w:r>
          </w:p>
        </w:tc>
        <w:tc>
          <w:tcPr>
            <w:tcW w:w="1158" w:type="dxa"/>
            <w:vAlign w:val="center"/>
          </w:tcPr>
          <w:p w14:paraId="2A71F917">
            <w:pPr>
              <w:pStyle w:val="45"/>
              <w:jc w:val="center"/>
              <w:rPr>
                <w:color w:val="auto"/>
                <w:lang w:eastAsia="zh-CN"/>
              </w:rPr>
            </w:pPr>
            <w:r>
              <w:rPr>
                <w:rFonts w:hint="eastAsia"/>
                <w:color w:val="auto"/>
                <w:lang w:eastAsia="zh-CN"/>
              </w:rPr>
              <w:t>69</w:t>
            </w:r>
          </w:p>
        </w:tc>
        <w:tc>
          <w:tcPr>
            <w:tcW w:w="1394" w:type="dxa"/>
            <w:vAlign w:val="center"/>
          </w:tcPr>
          <w:p w14:paraId="716DB115">
            <w:pPr>
              <w:pStyle w:val="45"/>
              <w:jc w:val="center"/>
              <w:rPr>
                <w:color w:val="auto"/>
              </w:rPr>
            </w:pPr>
            <w:r>
              <w:rPr>
                <w:color w:val="auto"/>
              </w:rPr>
              <w:t>预期性</w:t>
            </w:r>
          </w:p>
        </w:tc>
      </w:tr>
      <w:tr w14:paraId="29C6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CE38B6">
            <w:pPr>
              <w:pStyle w:val="45"/>
              <w:jc w:val="center"/>
              <w:rPr>
                <w:color w:val="auto"/>
                <w:lang w:eastAsia="zh-CN"/>
              </w:rPr>
            </w:pPr>
            <w:r>
              <w:rPr>
                <w:rFonts w:hint="eastAsia"/>
                <w:color w:val="auto"/>
                <w:lang w:eastAsia="zh-CN"/>
              </w:rPr>
              <w:t>8</w:t>
            </w:r>
          </w:p>
        </w:tc>
        <w:tc>
          <w:tcPr>
            <w:tcW w:w="2912" w:type="dxa"/>
            <w:vAlign w:val="center"/>
          </w:tcPr>
          <w:p w14:paraId="1B6295DB">
            <w:pPr>
              <w:pStyle w:val="45"/>
              <w:jc w:val="center"/>
              <w:rPr>
                <w:color w:val="auto"/>
                <w:lang w:eastAsia="zh-CN"/>
              </w:rPr>
            </w:pPr>
            <w:r>
              <w:rPr>
                <w:color w:val="auto"/>
              </w:rPr>
              <w:t>农业生产信息化率</w:t>
            </w:r>
          </w:p>
        </w:tc>
        <w:tc>
          <w:tcPr>
            <w:tcW w:w="1057" w:type="dxa"/>
            <w:vAlign w:val="center"/>
          </w:tcPr>
          <w:p w14:paraId="301BB03A">
            <w:pPr>
              <w:pStyle w:val="45"/>
              <w:jc w:val="center"/>
              <w:rPr>
                <w:color w:val="auto"/>
                <w:lang w:eastAsia="zh-CN"/>
              </w:rPr>
            </w:pPr>
            <w:r>
              <w:rPr>
                <w:rFonts w:hint="eastAsia"/>
                <w:color w:val="auto"/>
                <w:lang w:eastAsia="zh-CN"/>
              </w:rPr>
              <w:t>%</w:t>
            </w:r>
          </w:p>
        </w:tc>
        <w:tc>
          <w:tcPr>
            <w:tcW w:w="1134" w:type="dxa"/>
            <w:vAlign w:val="center"/>
          </w:tcPr>
          <w:p w14:paraId="3144675B">
            <w:pPr>
              <w:pStyle w:val="45"/>
              <w:jc w:val="center"/>
              <w:rPr>
                <w:color w:val="auto"/>
              </w:rPr>
            </w:pPr>
          </w:p>
        </w:tc>
        <w:tc>
          <w:tcPr>
            <w:tcW w:w="1158" w:type="dxa"/>
            <w:vAlign w:val="center"/>
          </w:tcPr>
          <w:p w14:paraId="283DD012">
            <w:pPr>
              <w:pStyle w:val="45"/>
              <w:jc w:val="center"/>
              <w:rPr>
                <w:color w:val="auto"/>
                <w:lang w:eastAsia="zh-CN"/>
              </w:rPr>
            </w:pPr>
            <w:r>
              <w:rPr>
                <w:rFonts w:hint="eastAsia"/>
                <w:color w:val="auto"/>
                <w:lang w:eastAsia="zh-CN"/>
              </w:rPr>
              <w:t>35.5</w:t>
            </w:r>
          </w:p>
        </w:tc>
        <w:tc>
          <w:tcPr>
            <w:tcW w:w="1394" w:type="dxa"/>
            <w:vAlign w:val="center"/>
          </w:tcPr>
          <w:p w14:paraId="66641D5A">
            <w:pPr>
              <w:pStyle w:val="45"/>
              <w:jc w:val="center"/>
              <w:rPr>
                <w:color w:val="auto"/>
              </w:rPr>
            </w:pPr>
            <w:r>
              <w:rPr>
                <w:color w:val="auto"/>
              </w:rPr>
              <w:t>预期性</w:t>
            </w:r>
          </w:p>
        </w:tc>
      </w:tr>
      <w:tr w14:paraId="24632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E54D29D">
            <w:pPr>
              <w:pStyle w:val="45"/>
              <w:jc w:val="center"/>
              <w:rPr>
                <w:color w:val="auto"/>
                <w:lang w:eastAsia="zh-CN"/>
              </w:rPr>
            </w:pPr>
            <w:r>
              <w:rPr>
                <w:rFonts w:hint="eastAsia"/>
                <w:color w:val="auto"/>
                <w:lang w:eastAsia="zh-CN"/>
              </w:rPr>
              <w:t>9</w:t>
            </w:r>
          </w:p>
        </w:tc>
        <w:tc>
          <w:tcPr>
            <w:tcW w:w="2912" w:type="dxa"/>
            <w:vAlign w:val="center"/>
          </w:tcPr>
          <w:p w14:paraId="2720A422">
            <w:pPr>
              <w:pStyle w:val="45"/>
              <w:jc w:val="center"/>
              <w:rPr>
                <w:color w:val="auto"/>
                <w:lang w:eastAsia="zh-CN"/>
              </w:rPr>
            </w:pPr>
            <w:r>
              <w:rPr>
                <w:color w:val="auto"/>
                <w:lang w:eastAsia="zh-CN"/>
              </w:rPr>
              <w:t>农田灌溉水有效利用系数</w:t>
            </w:r>
          </w:p>
        </w:tc>
        <w:tc>
          <w:tcPr>
            <w:tcW w:w="1057" w:type="dxa"/>
            <w:vAlign w:val="center"/>
          </w:tcPr>
          <w:p w14:paraId="2A4570B0">
            <w:pPr>
              <w:pStyle w:val="45"/>
              <w:jc w:val="center"/>
              <w:rPr>
                <w:color w:val="auto"/>
                <w:lang w:eastAsia="zh-CN"/>
              </w:rPr>
            </w:pPr>
            <w:r>
              <w:rPr>
                <w:rFonts w:hint="eastAsia"/>
                <w:color w:val="auto"/>
                <w:lang w:eastAsia="zh-CN"/>
              </w:rPr>
              <w:t>—</w:t>
            </w:r>
          </w:p>
        </w:tc>
        <w:tc>
          <w:tcPr>
            <w:tcW w:w="1134" w:type="dxa"/>
            <w:vAlign w:val="center"/>
          </w:tcPr>
          <w:p w14:paraId="4500DC97">
            <w:pPr>
              <w:pStyle w:val="45"/>
              <w:jc w:val="center"/>
              <w:rPr>
                <w:color w:val="auto"/>
              </w:rPr>
            </w:pPr>
          </w:p>
        </w:tc>
        <w:tc>
          <w:tcPr>
            <w:tcW w:w="1158" w:type="dxa"/>
            <w:vAlign w:val="center"/>
          </w:tcPr>
          <w:p w14:paraId="4D1B5FBA">
            <w:pPr>
              <w:pStyle w:val="45"/>
              <w:jc w:val="center"/>
              <w:rPr>
                <w:color w:val="auto"/>
                <w:lang w:eastAsia="zh-CN"/>
              </w:rPr>
            </w:pPr>
            <w:r>
              <w:rPr>
                <w:rFonts w:hint="eastAsia"/>
                <w:color w:val="auto"/>
                <w:lang w:eastAsia="zh-CN"/>
              </w:rPr>
              <w:t>0.604</w:t>
            </w:r>
          </w:p>
        </w:tc>
        <w:tc>
          <w:tcPr>
            <w:tcW w:w="1394" w:type="dxa"/>
            <w:vAlign w:val="center"/>
          </w:tcPr>
          <w:p w14:paraId="2E34385D">
            <w:pPr>
              <w:pStyle w:val="45"/>
              <w:jc w:val="center"/>
              <w:rPr>
                <w:color w:val="auto"/>
              </w:rPr>
            </w:pPr>
            <w:r>
              <w:rPr>
                <w:color w:val="auto"/>
              </w:rPr>
              <w:t>预期性</w:t>
            </w:r>
          </w:p>
        </w:tc>
      </w:tr>
      <w:tr w14:paraId="23C8C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9EE2A39">
            <w:pPr>
              <w:pStyle w:val="45"/>
              <w:jc w:val="center"/>
              <w:rPr>
                <w:color w:val="auto"/>
                <w:lang w:eastAsia="zh-CN"/>
              </w:rPr>
            </w:pPr>
            <w:r>
              <w:rPr>
                <w:rFonts w:hint="eastAsia"/>
                <w:color w:val="auto"/>
                <w:lang w:eastAsia="zh-CN"/>
              </w:rPr>
              <w:t>10</w:t>
            </w:r>
          </w:p>
        </w:tc>
        <w:tc>
          <w:tcPr>
            <w:tcW w:w="2912" w:type="dxa"/>
            <w:vAlign w:val="center"/>
          </w:tcPr>
          <w:p w14:paraId="10D686B4">
            <w:pPr>
              <w:pStyle w:val="45"/>
              <w:jc w:val="center"/>
              <w:rPr>
                <w:color w:val="auto"/>
              </w:rPr>
            </w:pPr>
            <w:r>
              <w:rPr>
                <w:color w:val="auto"/>
              </w:rPr>
              <w:t>畜禽粪污综合利用率</w:t>
            </w:r>
          </w:p>
        </w:tc>
        <w:tc>
          <w:tcPr>
            <w:tcW w:w="1057" w:type="dxa"/>
            <w:vAlign w:val="center"/>
          </w:tcPr>
          <w:p w14:paraId="10FA717F">
            <w:pPr>
              <w:pStyle w:val="45"/>
              <w:jc w:val="center"/>
              <w:rPr>
                <w:color w:val="auto"/>
              </w:rPr>
            </w:pPr>
            <w:r>
              <w:rPr>
                <w:color w:val="auto"/>
              </w:rPr>
              <w:t>%</w:t>
            </w:r>
          </w:p>
        </w:tc>
        <w:tc>
          <w:tcPr>
            <w:tcW w:w="1134" w:type="dxa"/>
            <w:vAlign w:val="center"/>
          </w:tcPr>
          <w:p w14:paraId="72E0E143">
            <w:pPr>
              <w:pStyle w:val="45"/>
              <w:jc w:val="center"/>
              <w:rPr>
                <w:color w:val="auto"/>
                <w:lang w:eastAsia="zh-CN"/>
              </w:rPr>
            </w:pPr>
            <w:r>
              <w:rPr>
                <w:rFonts w:hint="eastAsia"/>
                <w:color w:val="auto"/>
                <w:lang w:eastAsia="zh-CN"/>
              </w:rPr>
              <w:t>80</w:t>
            </w:r>
          </w:p>
        </w:tc>
        <w:tc>
          <w:tcPr>
            <w:tcW w:w="1158" w:type="dxa"/>
            <w:vAlign w:val="center"/>
          </w:tcPr>
          <w:p w14:paraId="382EB629">
            <w:pPr>
              <w:pStyle w:val="45"/>
              <w:jc w:val="center"/>
              <w:rPr>
                <w:color w:val="auto"/>
              </w:rPr>
            </w:pPr>
            <w:r>
              <w:rPr>
                <w:color w:val="auto"/>
              </w:rPr>
              <w:t>85</w:t>
            </w:r>
          </w:p>
        </w:tc>
        <w:tc>
          <w:tcPr>
            <w:tcW w:w="1394" w:type="dxa"/>
            <w:vAlign w:val="center"/>
          </w:tcPr>
          <w:p w14:paraId="730F0F3E">
            <w:pPr>
              <w:pStyle w:val="45"/>
              <w:jc w:val="center"/>
              <w:rPr>
                <w:color w:val="auto"/>
              </w:rPr>
            </w:pPr>
            <w:r>
              <w:rPr>
                <w:color w:val="auto"/>
              </w:rPr>
              <w:t>预期性</w:t>
            </w:r>
          </w:p>
        </w:tc>
      </w:tr>
      <w:tr w14:paraId="20FE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7AA7450">
            <w:pPr>
              <w:pStyle w:val="45"/>
              <w:jc w:val="center"/>
              <w:rPr>
                <w:color w:val="auto"/>
                <w:lang w:eastAsia="zh-CN"/>
              </w:rPr>
            </w:pPr>
            <w:r>
              <w:rPr>
                <w:rFonts w:hint="eastAsia"/>
                <w:color w:val="auto"/>
                <w:lang w:eastAsia="zh-CN"/>
              </w:rPr>
              <w:t>11</w:t>
            </w:r>
          </w:p>
        </w:tc>
        <w:tc>
          <w:tcPr>
            <w:tcW w:w="2912" w:type="dxa"/>
            <w:vAlign w:val="center"/>
          </w:tcPr>
          <w:p w14:paraId="113D0685">
            <w:pPr>
              <w:pStyle w:val="45"/>
              <w:jc w:val="center"/>
              <w:rPr>
                <w:color w:val="auto"/>
                <w:lang w:eastAsia="zh-CN"/>
              </w:rPr>
            </w:pPr>
            <w:r>
              <w:rPr>
                <w:rFonts w:hint="eastAsia"/>
                <w:color w:val="auto"/>
                <w:lang w:eastAsia="zh-CN"/>
              </w:rPr>
              <w:t>绿色优质农产品生产基地数量</w:t>
            </w:r>
          </w:p>
        </w:tc>
        <w:tc>
          <w:tcPr>
            <w:tcW w:w="1057" w:type="dxa"/>
            <w:vAlign w:val="center"/>
          </w:tcPr>
          <w:p w14:paraId="6D2FCD8B">
            <w:pPr>
              <w:pStyle w:val="45"/>
              <w:jc w:val="center"/>
              <w:rPr>
                <w:color w:val="auto"/>
                <w:lang w:eastAsia="zh-CN"/>
              </w:rPr>
            </w:pPr>
            <w:r>
              <w:rPr>
                <w:rFonts w:hint="eastAsia"/>
                <w:color w:val="auto"/>
                <w:lang w:eastAsia="zh-CN"/>
              </w:rPr>
              <w:t>个</w:t>
            </w:r>
          </w:p>
        </w:tc>
        <w:tc>
          <w:tcPr>
            <w:tcW w:w="1134" w:type="dxa"/>
            <w:vAlign w:val="center"/>
          </w:tcPr>
          <w:p w14:paraId="5DED344C">
            <w:pPr>
              <w:pStyle w:val="45"/>
              <w:jc w:val="center"/>
              <w:rPr>
                <w:color w:val="auto"/>
              </w:rPr>
            </w:pPr>
          </w:p>
        </w:tc>
        <w:tc>
          <w:tcPr>
            <w:tcW w:w="1158" w:type="dxa"/>
            <w:vAlign w:val="center"/>
          </w:tcPr>
          <w:p w14:paraId="6FFC298A">
            <w:pPr>
              <w:pStyle w:val="45"/>
              <w:jc w:val="center"/>
              <w:rPr>
                <w:color w:val="auto"/>
                <w:lang w:eastAsia="zh-CN"/>
              </w:rPr>
            </w:pPr>
            <w:r>
              <w:rPr>
                <w:rFonts w:hint="eastAsia"/>
                <w:color w:val="auto"/>
                <w:lang w:eastAsia="zh-CN"/>
              </w:rPr>
              <w:t>11</w:t>
            </w:r>
          </w:p>
        </w:tc>
        <w:tc>
          <w:tcPr>
            <w:tcW w:w="1394" w:type="dxa"/>
            <w:vAlign w:val="center"/>
          </w:tcPr>
          <w:p w14:paraId="37D27C7C">
            <w:pPr>
              <w:pStyle w:val="45"/>
              <w:jc w:val="center"/>
              <w:rPr>
                <w:color w:val="auto"/>
              </w:rPr>
            </w:pPr>
            <w:r>
              <w:rPr>
                <w:color w:val="auto"/>
              </w:rPr>
              <w:t>预期性</w:t>
            </w:r>
          </w:p>
        </w:tc>
      </w:tr>
      <w:tr w14:paraId="6827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A3C507C">
            <w:pPr>
              <w:pStyle w:val="45"/>
              <w:jc w:val="center"/>
              <w:rPr>
                <w:color w:val="auto"/>
                <w:lang w:eastAsia="zh-CN"/>
              </w:rPr>
            </w:pPr>
            <w:r>
              <w:rPr>
                <w:rFonts w:hint="eastAsia"/>
                <w:color w:val="auto"/>
                <w:lang w:eastAsia="zh-CN"/>
              </w:rPr>
              <w:t>12</w:t>
            </w:r>
          </w:p>
        </w:tc>
        <w:tc>
          <w:tcPr>
            <w:tcW w:w="2912" w:type="dxa"/>
            <w:vAlign w:val="center"/>
          </w:tcPr>
          <w:p w14:paraId="56E89237">
            <w:pPr>
              <w:pStyle w:val="45"/>
              <w:jc w:val="center"/>
              <w:rPr>
                <w:color w:val="auto"/>
                <w:lang w:eastAsia="zh-CN"/>
              </w:rPr>
            </w:pPr>
            <w:r>
              <w:rPr>
                <w:rFonts w:hint="eastAsia"/>
                <w:color w:val="auto"/>
                <w:lang w:eastAsia="zh-CN"/>
              </w:rPr>
              <w:t>新型农业经营主体带动农户比例</w:t>
            </w:r>
          </w:p>
        </w:tc>
        <w:tc>
          <w:tcPr>
            <w:tcW w:w="1057" w:type="dxa"/>
            <w:vAlign w:val="center"/>
          </w:tcPr>
          <w:p w14:paraId="333E3AC6">
            <w:pPr>
              <w:pStyle w:val="45"/>
              <w:jc w:val="center"/>
              <w:rPr>
                <w:color w:val="auto"/>
                <w:lang w:eastAsia="zh-CN"/>
              </w:rPr>
            </w:pPr>
            <w:r>
              <w:rPr>
                <w:rFonts w:hint="eastAsia"/>
                <w:color w:val="auto"/>
                <w:lang w:eastAsia="zh-CN"/>
              </w:rPr>
              <w:t>%</w:t>
            </w:r>
          </w:p>
        </w:tc>
        <w:tc>
          <w:tcPr>
            <w:tcW w:w="1134" w:type="dxa"/>
            <w:vAlign w:val="center"/>
          </w:tcPr>
          <w:p w14:paraId="75617BE4">
            <w:pPr>
              <w:pStyle w:val="45"/>
              <w:jc w:val="center"/>
              <w:rPr>
                <w:color w:val="auto"/>
              </w:rPr>
            </w:pPr>
          </w:p>
        </w:tc>
        <w:tc>
          <w:tcPr>
            <w:tcW w:w="1158" w:type="dxa"/>
            <w:vAlign w:val="center"/>
          </w:tcPr>
          <w:p w14:paraId="37DAE259">
            <w:pPr>
              <w:pStyle w:val="45"/>
              <w:jc w:val="center"/>
              <w:rPr>
                <w:color w:val="auto"/>
                <w:lang w:eastAsia="zh-CN"/>
              </w:rPr>
            </w:pPr>
            <w:r>
              <w:rPr>
                <w:rFonts w:hint="eastAsia"/>
                <w:color w:val="auto"/>
                <w:lang w:eastAsia="zh-CN"/>
              </w:rPr>
              <w:t>＞63</w:t>
            </w:r>
          </w:p>
        </w:tc>
        <w:tc>
          <w:tcPr>
            <w:tcW w:w="1394" w:type="dxa"/>
            <w:vAlign w:val="center"/>
          </w:tcPr>
          <w:p w14:paraId="632A485F">
            <w:pPr>
              <w:pStyle w:val="45"/>
              <w:jc w:val="center"/>
              <w:rPr>
                <w:color w:val="auto"/>
              </w:rPr>
            </w:pPr>
            <w:r>
              <w:rPr>
                <w:color w:val="auto"/>
              </w:rPr>
              <w:t>预期性</w:t>
            </w:r>
          </w:p>
        </w:tc>
      </w:tr>
      <w:tr w14:paraId="2B5B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705580B">
            <w:pPr>
              <w:pStyle w:val="45"/>
              <w:jc w:val="center"/>
              <w:rPr>
                <w:color w:val="auto"/>
                <w:lang w:eastAsia="zh-CN"/>
              </w:rPr>
            </w:pPr>
            <w:r>
              <w:rPr>
                <w:rFonts w:hint="eastAsia"/>
                <w:color w:val="auto"/>
                <w:lang w:eastAsia="zh-CN"/>
              </w:rPr>
              <w:t>13</w:t>
            </w:r>
          </w:p>
        </w:tc>
        <w:tc>
          <w:tcPr>
            <w:tcW w:w="2912" w:type="dxa"/>
            <w:vAlign w:val="center"/>
          </w:tcPr>
          <w:p w14:paraId="330F8998">
            <w:pPr>
              <w:pStyle w:val="45"/>
              <w:jc w:val="center"/>
              <w:rPr>
                <w:color w:val="auto"/>
                <w:lang w:eastAsia="zh-CN"/>
              </w:rPr>
            </w:pPr>
            <w:r>
              <w:rPr>
                <w:rFonts w:hint="eastAsia"/>
                <w:color w:val="auto"/>
                <w:lang w:eastAsia="zh-CN"/>
              </w:rPr>
              <w:t>农业劳动生产率</w:t>
            </w:r>
          </w:p>
        </w:tc>
        <w:tc>
          <w:tcPr>
            <w:tcW w:w="1057" w:type="dxa"/>
            <w:vAlign w:val="center"/>
          </w:tcPr>
          <w:p w14:paraId="761E5FC3">
            <w:pPr>
              <w:pStyle w:val="45"/>
              <w:jc w:val="center"/>
              <w:rPr>
                <w:color w:val="auto"/>
                <w:lang w:eastAsia="zh-CN"/>
              </w:rPr>
            </w:pPr>
            <w:r>
              <w:rPr>
                <w:rFonts w:hint="eastAsia"/>
                <w:color w:val="auto"/>
                <w:lang w:eastAsia="zh-CN"/>
              </w:rPr>
              <w:t>万元/人</w:t>
            </w:r>
          </w:p>
        </w:tc>
        <w:tc>
          <w:tcPr>
            <w:tcW w:w="1134" w:type="dxa"/>
            <w:vAlign w:val="center"/>
          </w:tcPr>
          <w:p w14:paraId="064CA9FD">
            <w:pPr>
              <w:pStyle w:val="45"/>
              <w:jc w:val="center"/>
              <w:rPr>
                <w:color w:val="auto"/>
              </w:rPr>
            </w:pPr>
          </w:p>
        </w:tc>
        <w:tc>
          <w:tcPr>
            <w:tcW w:w="1158" w:type="dxa"/>
            <w:vAlign w:val="center"/>
          </w:tcPr>
          <w:p w14:paraId="462202FC">
            <w:pPr>
              <w:pStyle w:val="45"/>
              <w:jc w:val="center"/>
              <w:rPr>
                <w:color w:val="auto"/>
                <w:lang w:eastAsia="zh-CN"/>
              </w:rPr>
            </w:pPr>
            <w:r>
              <w:rPr>
                <w:rFonts w:hint="eastAsia"/>
                <w:color w:val="auto"/>
                <w:lang w:eastAsia="zh-CN"/>
              </w:rPr>
              <w:t>5.6</w:t>
            </w:r>
          </w:p>
        </w:tc>
        <w:tc>
          <w:tcPr>
            <w:tcW w:w="1394" w:type="dxa"/>
            <w:vAlign w:val="center"/>
          </w:tcPr>
          <w:p w14:paraId="21D9609B">
            <w:pPr>
              <w:pStyle w:val="45"/>
              <w:jc w:val="center"/>
              <w:rPr>
                <w:color w:val="auto"/>
              </w:rPr>
            </w:pPr>
            <w:r>
              <w:rPr>
                <w:color w:val="auto"/>
              </w:rPr>
              <w:t>预期性</w:t>
            </w:r>
          </w:p>
        </w:tc>
      </w:tr>
      <w:tr w14:paraId="3324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CB02127">
            <w:pPr>
              <w:pStyle w:val="45"/>
              <w:jc w:val="center"/>
              <w:rPr>
                <w:color w:val="auto"/>
                <w:lang w:eastAsia="zh-CN"/>
              </w:rPr>
            </w:pPr>
            <w:r>
              <w:rPr>
                <w:color w:val="auto"/>
              </w:rPr>
              <w:t>1</w:t>
            </w:r>
            <w:r>
              <w:rPr>
                <w:rFonts w:hint="eastAsia"/>
                <w:color w:val="auto"/>
                <w:lang w:eastAsia="zh-CN"/>
              </w:rPr>
              <w:t>4</w:t>
            </w:r>
          </w:p>
        </w:tc>
        <w:tc>
          <w:tcPr>
            <w:tcW w:w="2912" w:type="dxa"/>
            <w:vAlign w:val="center"/>
          </w:tcPr>
          <w:p w14:paraId="0BF4D17A">
            <w:pPr>
              <w:pStyle w:val="45"/>
              <w:jc w:val="center"/>
              <w:rPr>
                <w:color w:val="auto"/>
              </w:rPr>
            </w:pPr>
            <w:r>
              <w:rPr>
                <w:color w:val="auto"/>
              </w:rPr>
              <w:t>农村自来水普及率</w:t>
            </w:r>
          </w:p>
        </w:tc>
        <w:tc>
          <w:tcPr>
            <w:tcW w:w="1057" w:type="dxa"/>
            <w:vAlign w:val="center"/>
          </w:tcPr>
          <w:p w14:paraId="4A14F5FC">
            <w:pPr>
              <w:pStyle w:val="45"/>
              <w:jc w:val="center"/>
              <w:rPr>
                <w:color w:val="auto"/>
              </w:rPr>
            </w:pPr>
            <w:r>
              <w:rPr>
                <w:color w:val="auto"/>
              </w:rPr>
              <w:t>%</w:t>
            </w:r>
          </w:p>
        </w:tc>
        <w:tc>
          <w:tcPr>
            <w:tcW w:w="1134" w:type="dxa"/>
            <w:vAlign w:val="center"/>
          </w:tcPr>
          <w:p w14:paraId="212D9506">
            <w:pPr>
              <w:pStyle w:val="45"/>
              <w:jc w:val="center"/>
              <w:rPr>
                <w:color w:val="auto"/>
              </w:rPr>
            </w:pPr>
            <w:r>
              <w:rPr>
                <w:color w:val="auto"/>
              </w:rPr>
              <w:t>85.8</w:t>
            </w:r>
          </w:p>
        </w:tc>
        <w:tc>
          <w:tcPr>
            <w:tcW w:w="1158" w:type="dxa"/>
            <w:vAlign w:val="center"/>
          </w:tcPr>
          <w:p w14:paraId="6CBABDCD">
            <w:pPr>
              <w:pStyle w:val="45"/>
              <w:jc w:val="center"/>
              <w:rPr>
                <w:color w:val="auto"/>
                <w:lang w:eastAsia="zh-CN"/>
              </w:rPr>
            </w:pPr>
            <w:r>
              <w:rPr>
                <w:rFonts w:hint="eastAsia"/>
                <w:color w:val="auto"/>
                <w:lang w:eastAsia="zh-CN"/>
              </w:rPr>
              <w:t>96</w:t>
            </w:r>
          </w:p>
        </w:tc>
        <w:tc>
          <w:tcPr>
            <w:tcW w:w="1394" w:type="dxa"/>
            <w:vAlign w:val="center"/>
          </w:tcPr>
          <w:p w14:paraId="53104B45">
            <w:pPr>
              <w:pStyle w:val="45"/>
              <w:jc w:val="center"/>
              <w:rPr>
                <w:color w:val="auto"/>
              </w:rPr>
            </w:pPr>
            <w:r>
              <w:rPr>
                <w:color w:val="auto"/>
              </w:rPr>
              <w:t>预期性</w:t>
            </w:r>
          </w:p>
        </w:tc>
      </w:tr>
      <w:tr w14:paraId="7166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AA34966">
            <w:pPr>
              <w:pStyle w:val="45"/>
              <w:jc w:val="center"/>
              <w:rPr>
                <w:color w:val="auto"/>
                <w:lang w:eastAsia="zh-CN"/>
              </w:rPr>
            </w:pPr>
            <w:r>
              <w:rPr>
                <w:rFonts w:hint="eastAsia"/>
                <w:color w:val="auto"/>
                <w:lang w:eastAsia="zh-CN"/>
              </w:rPr>
              <w:t>15</w:t>
            </w:r>
          </w:p>
        </w:tc>
        <w:tc>
          <w:tcPr>
            <w:tcW w:w="2912" w:type="dxa"/>
            <w:vAlign w:val="center"/>
          </w:tcPr>
          <w:p w14:paraId="05439F5B">
            <w:pPr>
              <w:pStyle w:val="45"/>
              <w:jc w:val="center"/>
              <w:rPr>
                <w:color w:val="auto"/>
              </w:rPr>
            </w:pPr>
            <w:r>
              <w:rPr>
                <w:rFonts w:hint="eastAsia"/>
                <w:color w:val="auto"/>
                <w:lang w:eastAsia="zh-CN"/>
              </w:rPr>
              <w:t>农村生活污水治理率</w:t>
            </w:r>
          </w:p>
        </w:tc>
        <w:tc>
          <w:tcPr>
            <w:tcW w:w="1057" w:type="dxa"/>
            <w:vAlign w:val="center"/>
          </w:tcPr>
          <w:p w14:paraId="0E451C9C">
            <w:pPr>
              <w:pStyle w:val="45"/>
              <w:jc w:val="center"/>
              <w:rPr>
                <w:color w:val="auto"/>
                <w:lang w:eastAsia="zh-CN"/>
              </w:rPr>
            </w:pPr>
            <w:r>
              <w:rPr>
                <w:rFonts w:hint="eastAsia"/>
                <w:color w:val="auto"/>
                <w:lang w:eastAsia="zh-CN"/>
              </w:rPr>
              <w:t>%</w:t>
            </w:r>
          </w:p>
        </w:tc>
        <w:tc>
          <w:tcPr>
            <w:tcW w:w="1134" w:type="dxa"/>
            <w:vAlign w:val="center"/>
          </w:tcPr>
          <w:p w14:paraId="0C674924">
            <w:pPr>
              <w:pStyle w:val="45"/>
              <w:jc w:val="center"/>
              <w:rPr>
                <w:color w:val="auto"/>
                <w:lang w:eastAsia="zh-CN"/>
              </w:rPr>
            </w:pPr>
            <w:r>
              <w:rPr>
                <w:rFonts w:hint="eastAsia"/>
                <w:color w:val="auto"/>
                <w:lang w:eastAsia="zh-CN"/>
              </w:rPr>
              <w:t>29.4</w:t>
            </w:r>
          </w:p>
        </w:tc>
        <w:tc>
          <w:tcPr>
            <w:tcW w:w="1158" w:type="dxa"/>
            <w:vAlign w:val="center"/>
          </w:tcPr>
          <w:p w14:paraId="716DB3F4">
            <w:pPr>
              <w:pStyle w:val="45"/>
              <w:jc w:val="center"/>
              <w:rPr>
                <w:color w:val="auto"/>
                <w:lang w:eastAsia="zh-CN"/>
              </w:rPr>
            </w:pPr>
            <w:r>
              <w:rPr>
                <w:rFonts w:hint="eastAsia"/>
                <w:color w:val="auto"/>
                <w:lang w:eastAsia="zh-CN"/>
              </w:rPr>
              <w:t>70</w:t>
            </w:r>
          </w:p>
        </w:tc>
        <w:tc>
          <w:tcPr>
            <w:tcW w:w="1394" w:type="dxa"/>
            <w:vAlign w:val="center"/>
          </w:tcPr>
          <w:p w14:paraId="189D9B98">
            <w:pPr>
              <w:pStyle w:val="45"/>
              <w:jc w:val="center"/>
              <w:rPr>
                <w:color w:val="auto"/>
              </w:rPr>
            </w:pPr>
            <w:r>
              <w:rPr>
                <w:color w:val="auto"/>
              </w:rPr>
              <w:t>预期性</w:t>
            </w:r>
          </w:p>
        </w:tc>
      </w:tr>
      <w:tr w14:paraId="6092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E96CBE0">
            <w:pPr>
              <w:pStyle w:val="45"/>
              <w:jc w:val="center"/>
              <w:rPr>
                <w:color w:val="auto"/>
                <w:lang w:eastAsia="zh-CN"/>
              </w:rPr>
            </w:pPr>
            <w:r>
              <w:rPr>
                <w:rFonts w:hint="eastAsia"/>
                <w:color w:val="auto"/>
                <w:lang w:eastAsia="zh-CN"/>
              </w:rPr>
              <w:t>16</w:t>
            </w:r>
          </w:p>
        </w:tc>
        <w:tc>
          <w:tcPr>
            <w:tcW w:w="2912" w:type="dxa"/>
            <w:vAlign w:val="center"/>
          </w:tcPr>
          <w:p w14:paraId="4A1806D9">
            <w:pPr>
              <w:pStyle w:val="45"/>
              <w:jc w:val="center"/>
              <w:rPr>
                <w:color w:val="auto"/>
                <w:lang w:eastAsia="zh-CN"/>
              </w:rPr>
            </w:pPr>
            <w:r>
              <w:rPr>
                <w:color w:val="auto"/>
                <w:lang w:eastAsia="zh-CN"/>
              </w:rPr>
              <w:t>乡村医生中具备执业（助理）医师资格的人员比例</w:t>
            </w:r>
          </w:p>
        </w:tc>
        <w:tc>
          <w:tcPr>
            <w:tcW w:w="1057" w:type="dxa"/>
            <w:vAlign w:val="center"/>
          </w:tcPr>
          <w:p w14:paraId="16CB8EB2">
            <w:pPr>
              <w:pStyle w:val="45"/>
              <w:jc w:val="center"/>
              <w:rPr>
                <w:color w:val="auto"/>
                <w:lang w:eastAsia="zh-CN"/>
              </w:rPr>
            </w:pPr>
            <w:r>
              <w:rPr>
                <w:rFonts w:hint="eastAsia"/>
                <w:color w:val="auto"/>
                <w:lang w:eastAsia="zh-CN"/>
              </w:rPr>
              <w:t>%</w:t>
            </w:r>
          </w:p>
        </w:tc>
        <w:tc>
          <w:tcPr>
            <w:tcW w:w="1134" w:type="dxa"/>
            <w:vAlign w:val="center"/>
          </w:tcPr>
          <w:p w14:paraId="1A2E10AB">
            <w:pPr>
              <w:pStyle w:val="45"/>
              <w:jc w:val="center"/>
              <w:rPr>
                <w:color w:val="auto"/>
                <w:lang w:eastAsia="zh-CN"/>
              </w:rPr>
            </w:pPr>
          </w:p>
        </w:tc>
        <w:tc>
          <w:tcPr>
            <w:tcW w:w="1158" w:type="dxa"/>
            <w:vAlign w:val="center"/>
          </w:tcPr>
          <w:p w14:paraId="744226F7">
            <w:pPr>
              <w:pStyle w:val="45"/>
              <w:jc w:val="center"/>
              <w:rPr>
                <w:color w:val="auto"/>
                <w:lang w:eastAsia="zh-CN"/>
              </w:rPr>
            </w:pPr>
            <w:r>
              <w:rPr>
                <w:rFonts w:hint="eastAsia"/>
                <w:color w:val="auto"/>
                <w:lang w:eastAsia="zh-CN"/>
              </w:rPr>
              <w:t>50</w:t>
            </w:r>
          </w:p>
        </w:tc>
        <w:tc>
          <w:tcPr>
            <w:tcW w:w="1394" w:type="dxa"/>
            <w:vAlign w:val="center"/>
          </w:tcPr>
          <w:p w14:paraId="28DDD070">
            <w:pPr>
              <w:pStyle w:val="45"/>
              <w:jc w:val="center"/>
              <w:rPr>
                <w:color w:val="auto"/>
                <w:lang w:eastAsia="zh-CN"/>
              </w:rPr>
            </w:pPr>
            <w:r>
              <w:rPr>
                <w:color w:val="auto"/>
              </w:rPr>
              <w:t>预期性</w:t>
            </w:r>
          </w:p>
        </w:tc>
      </w:tr>
      <w:tr w14:paraId="1B92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ECF6E95">
            <w:pPr>
              <w:pStyle w:val="45"/>
              <w:jc w:val="center"/>
              <w:rPr>
                <w:color w:val="auto"/>
                <w:lang w:eastAsia="zh-CN"/>
              </w:rPr>
            </w:pPr>
            <w:r>
              <w:rPr>
                <w:rFonts w:hint="eastAsia"/>
                <w:color w:val="auto"/>
                <w:lang w:eastAsia="zh-CN"/>
              </w:rPr>
              <w:t>17</w:t>
            </w:r>
          </w:p>
        </w:tc>
        <w:tc>
          <w:tcPr>
            <w:tcW w:w="2912" w:type="dxa"/>
            <w:vAlign w:val="center"/>
          </w:tcPr>
          <w:p w14:paraId="56D2331A">
            <w:pPr>
              <w:pStyle w:val="45"/>
              <w:jc w:val="center"/>
              <w:rPr>
                <w:color w:val="auto"/>
                <w:lang w:eastAsia="zh-CN"/>
              </w:rPr>
            </w:pPr>
            <w:r>
              <w:rPr>
                <w:color w:val="auto"/>
                <w:lang w:eastAsia="zh-CN"/>
              </w:rPr>
              <w:t>乡镇（街道）区域养老服务中心服务覆盖率</w:t>
            </w:r>
          </w:p>
        </w:tc>
        <w:tc>
          <w:tcPr>
            <w:tcW w:w="1057" w:type="dxa"/>
            <w:vAlign w:val="center"/>
          </w:tcPr>
          <w:p w14:paraId="58FF58A4">
            <w:pPr>
              <w:pStyle w:val="45"/>
              <w:jc w:val="center"/>
              <w:rPr>
                <w:color w:val="auto"/>
                <w:lang w:eastAsia="zh-CN"/>
              </w:rPr>
            </w:pPr>
            <w:r>
              <w:rPr>
                <w:rFonts w:hint="eastAsia"/>
                <w:color w:val="auto"/>
                <w:lang w:eastAsia="zh-CN"/>
              </w:rPr>
              <w:t>%</w:t>
            </w:r>
          </w:p>
        </w:tc>
        <w:tc>
          <w:tcPr>
            <w:tcW w:w="1134" w:type="dxa"/>
            <w:vAlign w:val="center"/>
          </w:tcPr>
          <w:p w14:paraId="56F87081">
            <w:pPr>
              <w:pStyle w:val="45"/>
              <w:jc w:val="center"/>
              <w:rPr>
                <w:color w:val="auto"/>
                <w:lang w:eastAsia="zh-CN"/>
              </w:rPr>
            </w:pPr>
            <w:r>
              <w:rPr>
                <w:rFonts w:hint="eastAsia"/>
                <w:color w:val="auto"/>
                <w:lang w:eastAsia="zh-CN"/>
              </w:rPr>
              <w:t>99</w:t>
            </w:r>
          </w:p>
        </w:tc>
        <w:tc>
          <w:tcPr>
            <w:tcW w:w="1158" w:type="dxa"/>
            <w:vAlign w:val="center"/>
          </w:tcPr>
          <w:p w14:paraId="1400F868">
            <w:pPr>
              <w:pStyle w:val="45"/>
              <w:jc w:val="center"/>
              <w:rPr>
                <w:color w:val="auto"/>
                <w:lang w:eastAsia="zh-CN"/>
              </w:rPr>
            </w:pPr>
            <w:r>
              <w:rPr>
                <w:rFonts w:hint="eastAsia"/>
                <w:color w:val="auto"/>
                <w:lang w:eastAsia="zh-CN"/>
              </w:rPr>
              <w:t>100</w:t>
            </w:r>
          </w:p>
        </w:tc>
        <w:tc>
          <w:tcPr>
            <w:tcW w:w="1394" w:type="dxa"/>
            <w:vAlign w:val="center"/>
          </w:tcPr>
          <w:p w14:paraId="044664B5">
            <w:pPr>
              <w:pStyle w:val="45"/>
              <w:jc w:val="center"/>
              <w:rPr>
                <w:color w:val="auto"/>
                <w:lang w:eastAsia="zh-CN"/>
              </w:rPr>
            </w:pPr>
            <w:r>
              <w:rPr>
                <w:color w:val="auto"/>
              </w:rPr>
              <w:t>预期性</w:t>
            </w:r>
          </w:p>
        </w:tc>
      </w:tr>
      <w:tr w14:paraId="2F00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1C9AAAA">
            <w:pPr>
              <w:pStyle w:val="45"/>
              <w:jc w:val="center"/>
              <w:rPr>
                <w:color w:val="auto"/>
                <w:lang w:eastAsia="zh-CN"/>
              </w:rPr>
            </w:pPr>
            <w:r>
              <w:rPr>
                <w:rFonts w:hint="eastAsia"/>
                <w:color w:val="auto"/>
                <w:lang w:eastAsia="zh-CN"/>
              </w:rPr>
              <w:t>18</w:t>
            </w:r>
          </w:p>
        </w:tc>
        <w:tc>
          <w:tcPr>
            <w:tcW w:w="2912" w:type="dxa"/>
            <w:vAlign w:val="center"/>
          </w:tcPr>
          <w:p w14:paraId="40A51B37">
            <w:pPr>
              <w:pStyle w:val="45"/>
              <w:jc w:val="center"/>
              <w:rPr>
                <w:color w:val="auto"/>
                <w:lang w:eastAsia="zh-CN"/>
              </w:rPr>
            </w:pPr>
            <w:r>
              <w:rPr>
                <w:color w:val="auto"/>
              </w:rPr>
              <w:t>城乡居民收入比</w:t>
            </w:r>
          </w:p>
        </w:tc>
        <w:tc>
          <w:tcPr>
            <w:tcW w:w="1057" w:type="dxa"/>
            <w:vAlign w:val="center"/>
          </w:tcPr>
          <w:p w14:paraId="1911F68F">
            <w:pPr>
              <w:pStyle w:val="45"/>
              <w:jc w:val="center"/>
              <w:rPr>
                <w:color w:val="auto"/>
                <w:lang w:eastAsia="zh-CN"/>
              </w:rPr>
            </w:pPr>
            <w:r>
              <w:rPr>
                <w:rFonts w:hint="eastAsia"/>
                <w:color w:val="auto"/>
                <w:lang w:eastAsia="zh-CN"/>
              </w:rPr>
              <w:t>%</w:t>
            </w:r>
          </w:p>
        </w:tc>
        <w:tc>
          <w:tcPr>
            <w:tcW w:w="1134" w:type="dxa"/>
            <w:vAlign w:val="center"/>
          </w:tcPr>
          <w:p w14:paraId="612C7CCD">
            <w:pPr>
              <w:pStyle w:val="45"/>
              <w:jc w:val="center"/>
              <w:rPr>
                <w:color w:val="auto"/>
                <w:lang w:eastAsia="zh-CN"/>
              </w:rPr>
            </w:pPr>
            <w:r>
              <w:rPr>
                <w:rFonts w:hint="eastAsia"/>
                <w:color w:val="auto"/>
                <w:lang w:eastAsia="zh-CN"/>
              </w:rPr>
              <w:t>1.67</w:t>
            </w:r>
          </w:p>
        </w:tc>
        <w:tc>
          <w:tcPr>
            <w:tcW w:w="1158" w:type="dxa"/>
            <w:vAlign w:val="center"/>
          </w:tcPr>
          <w:p w14:paraId="02BCAECD">
            <w:pPr>
              <w:pStyle w:val="45"/>
              <w:jc w:val="center"/>
              <w:rPr>
                <w:color w:val="auto"/>
                <w:lang w:eastAsia="zh-CN"/>
              </w:rPr>
            </w:pPr>
            <w:r>
              <w:rPr>
                <w:rFonts w:hint="eastAsia"/>
                <w:color w:val="auto"/>
                <w:lang w:eastAsia="zh-CN"/>
              </w:rPr>
              <w:t>2</w:t>
            </w:r>
          </w:p>
        </w:tc>
        <w:tc>
          <w:tcPr>
            <w:tcW w:w="1394" w:type="dxa"/>
            <w:vAlign w:val="center"/>
          </w:tcPr>
          <w:p w14:paraId="1B8A9849">
            <w:pPr>
              <w:pStyle w:val="45"/>
              <w:jc w:val="center"/>
              <w:rPr>
                <w:color w:val="auto"/>
              </w:rPr>
            </w:pPr>
            <w:r>
              <w:rPr>
                <w:color w:val="auto"/>
              </w:rPr>
              <w:t>预期性</w:t>
            </w:r>
          </w:p>
        </w:tc>
      </w:tr>
      <w:tr w14:paraId="46702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10FD6C6">
            <w:pPr>
              <w:pStyle w:val="45"/>
              <w:jc w:val="center"/>
              <w:rPr>
                <w:color w:val="auto"/>
                <w:lang w:eastAsia="zh-CN"/>
              </w:rPr>
            </w:pPr>
            <w:r>
              <w:rPr>
                <w:rFonts w:hint="eastAsia"/>
                <w:color w:val="auto"/>
                <w:lang w:eastAsia="zh-CN"/>
              </w:rPr>
              <w:t>19</w:t>
            </w:r>
          </w:p>
        </w:tc>
        <w:tc>
          <w:tcPr>
            <w:tcW w:w="2912" w:type="dxa"/>
            <w:vAlign w:val="center"/>
          </w:tcPr>
          <w:p w14:paraId="67AF4B7C">
            <w:pPr>
              <w:pStyle w:val="45"/>
              <w:jc w:val="center"/>
              <w:rPr>
                <w:color w:val="auto"/>
                <w:lang w:eastAsia="zh-CN"/>
              </w:rPr>
            </w:pPr>
            <w:r>
              <w:rPr>
                <w:color w:val="auto"/>
              </w:rPr>
              <w:t>农村居民恩格尔系数</w:t>
            </w:r>
          </w:p>
        </w:tc>
        <w:tc>
          <w:tcPr>
            <w:tcW w:w="1057" w:type="dxa"/>
            <w:vAlign w:val="center"/>
          </w:tcPr>
          <w:p w14:paraId="4AEFC0EB">
            <w:pPr>
              <w:pStyle w:val="45"/>
              <w:jc w:val="center"/>
              <w:rPr>
                <w:color w:val="auto"/>
                <w:lang w:eastAsia="zh-CN"/>
              </w:rPr>
            </w:pPr>
            <w:r>
              <w:rPr>
                <w:rFonts w:hint="eastAsia"/>
                <w:color w:val="auto"/>
                <w:lang w:eastAsia="zh-CN"/>
              </w:rPr>
              <w:t>%</w:t>
            </w:r>
          </w:p>
        </w:tc>
        <w:tc>
          <w:tcPr>
            <w:tcW w:w="1134" w:type="dxa"/>
            <w:vAlign w:val="center"/>
          </w:tcPr>
          <w:p w14:paraId="6AC8CE49">
            <w:pPr>
              <w:pStyle w:val="45"/>
              <w:jc w:val="center"/>
              <w:rPr>
                <w:color w:val="auto"/>
              </w:rPr>
            </w:pPr>
          </w:p>
        </w:tc>
        <w:tc>
          <w:tcPr>
            <w:tcW w:w="1158" w:type="dxa"/>
            <w:vAlign w:val="center"/>
          </w:tcPr>
          <w:p w14:paraId="349EBB55">
            <w:pPr>
              <w:pStyle w:val="45"/>
              <w:jc w:val="center"/>
              <w:rPr>
                <w:color w:val="auto"/>
                <w:lang w:eastAsia="zh-CN"/>
              </w:rPr>
            </w:pPr>
            <w:r>
              <w:rPr>
                <w:rFonts w:hint="eastAsia"/>
                <w:color w:val="auto"/>
                <w:lang w:eastAsia="zh-CN"/>
              </w:rPr>
              <w:t>25</w:t>
            </w:r>
          </w:p>
        </w:tc>
        <w:tc>
          <w:tcPr>
            <w:tcW w:w="1394" w:type="dxa"/>
            <w:vAlign w:val="center"/>
          </w:tcPr>
          <w:p w14:paraId="48858C9C">
            <w:pPr>
              <w:pStyle w:val="45"/>
              <w:jc w:val="center"/>
              <w:rPr>
                <w:color w:val="auto"/>
              </w:rPr>
            </w:pPr>
            <w:r>
              <w:rPr>
                <w:rFonts w:hint="eastAsia"/>
                <w:color w:val="auto"/>
                <w:lang w:eastAsia="zh-CN"/>
              </w:rPr>
              <w:t>预期性</w:t>
            </w:r>
          </w:p>
        </w:tc>
      </w:tr>
      <w:tr w14:paraId="3931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7F97048">
            <w:pPr>
              <w:pStyle w:val="45"/>
              <w:jc w:val="center"/>
              <w:rPr>
                <w:rFonts w:hint="default"/>
                <w:color w:val="auto"/>
                <w:lang w:val="en-US" w:eastAsia="zh-CN"/>
              </w:rPr>
            </w:pPr>
            <w:r>
              <w:rPr>
                <w:rFonts w:hint="eastAsia"/>
                <w:color w:val="auto"/>
                <w:lang w:val="en-US" w:eastAsia="zh-CN"/>
              </w:rPr>
              <w:t>20</w:t>
            </w:r>
          </w:p>
        </w:tc>
        <w:tc>
          <w:tcPr>
            <w:tcW w:w="2912" w:type="dxa"/>
            <w:vAlign w:val="center"/>
          </w:tcPr>
          <w:p w14:paraId="17556ADA">
            <w:pPr>
              <w:pStyle w:val="45"/>
              <w:jc w:val="center"/>
              <w:rPr>
                <w:color w:val="auto"/>
              </w:rPr>
            </w:pPr>
            <w:r>
              <w:rPr>
                <w:rFonts w:hint="eastAsia" w:ascii="仿宋_GB2312" w:hAnsi="等线"/>
                <w:color w:val="auto"/>
              </w:rPr>
              <w:t>油料作物产量</w:t>
            </w:r>
          </w:p>
        </w:tc>
        <w:tc>
          <w:tcPr>
            <w:tcW w:w="1057" w:type="dxa"/>
            <w:vAlign w:val="center"/>
          </w:tcPr>
          <w:p w14:paraId="42F0E7DD">
            <w:pPr>
              <w:pStyle w:val="45"/>
              <w:jc w:val="center"/>
              <w:rPr>
                <w:color w:val="auto"/>
                <w:lang w:eastAsia="zh-CN"/>
              </w:rPr>
            </w:pPr>
            <w:r>
              <w:rPr>
                <w:rFonts w:hint="eastAsia" w:ascii="仿宋_GB2312" w:hAnsi="等线"/>
                <w:color w:val="auto"/>
              </w:rPr>
              <w:t>万吨</w:t>
            </w:r>
          </w:p>
        </w:tc>
        <w:tc>
          <w:tcPr>
            <w:tcW w:w="1134" w:type="dxa"/>
            <w:vAlign w:val="center"/>
          </w:tcPr>
          <w:p w14:paraId="2EFBEBBE">
            <w:pPr>
              <w:pStyle w:val="45"/>
              <w:jc w:val="center"/>
              <w:rPr>
                <w:color w:val="auto"/>
                <w:lang w:eastAsia="zh-CN"/>
              </w:rPr>
            </w:pPr>
            <w:r>
              <w:rPr>
                <w:rFonts w:hint="eastAsia"/>
                <w:color w:val="auto"/>
                <w:lang w:eastAsia="zh-CN"/>
              </w:rPr>
              <w:t>约</w:t>
            </w:r>
            <w:r>
              <w:rPr>
                <w:rFonts w:hint="eastAsia"/>
                <w:color w:val="auto"/>
              </w:rPr>
              <w:t>23</w:t>
            </w:r>
          </w:p>
        </w:tc>
        <w:tc>
          <w:tcPr>
            <w:tcW w:w="1158" w:type="dxa"/>
            <w:vAlign w:val="center"/>
          </w:tcPr>
          <w:p w14:paraId="118FA56D">
            <w:pPr>
              <w:pStyle w:val="45"/>
              <w:jc w:val="center"/>
              <w:rPr>
                <w:color w:val="auto"/>
                <w:lang w:eastAsia="zh-CN"/>
              </w:rPr>
            </w:pPr>
            <w:r>
              <w:rPr>
                <w:rFonts w:hint="eastAsia"/>
                <w:color w:val="auto"/>
                <w:lang w:eastAsia="zh-CN"/>
              </w:rPr>
              <w:t>约23</w:t>
            </w:r>
          </w:p>
        </w:tc>
        <w:tc>
          <w:tcPr>
            <w:tcW w:w="1394" w:type="dxa"/>
            <w:vAlign w:val="center"/>
          </w:tcPr>
          <w:p w14:paraId="4ECA126D">
            <w:pPr>
              <w:pStyle w:val="45"/>
              <w:jc w:val="center"/>
              <w:rPr>
                <w:color w:val="auto"/>
                <w:lang w:eastAsia="zh-CN"/>
              </w:rPr>
            </w:pPr>
            <w:r>
              <w:rPr>
                <w:rFonts w:hint="eastAsia" w:ascii="仿宋_GB2312" w:hAnsi="等线"/>
                <w:color w:val="auto"/>
              </w:rPr>
              <w:t>预期性</w:t>
            </w:r>
          </w:p>
        </w:tc>
      </w:tr>
      <w:tr w14:paraId="119B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29B5B42">
            <w:pPr>
              <w:pStyle w:val="45"/>
              <w:jc w:val="center"/>
              <w:rPr>
                <w:rFonts w:hint="default"/>
                <w:color w:val="auto"/>
                <w:lang w:val="en-US" w:eastAsia="zh-CN"/>
              </w:rPr>
            </w:pPr>
            <w:r>
              <w:rPr>
                <w:rFonts w:hint="eastAsia"/>
                <w:color w:val="auto"/>
                <w:lang w:val="en-US" w:eastAsia="zh-CN"/>
              </w:rPr>
              <w:t>21</w:t>
            </w:r>
          </w:p>
        </w:tc>
        <w:tc>
          <w:tcPr>
            <w:tcW w:w="2912" w:type="dxa"/>
            <w:vAlign w:val="center"/>
          </w:tcPr>
          <w:p w14:paraId="5D08C7DE">
            <w:pPr>
              <w:pStyle w:val="45"/>
              <w:jc w:val="center"/>
              <w:rPr>
                <w:color w:val="auto"/>
              </w:rPr>
            </w:pPr>
            <w:r>
              <w:rPr>
                <w:rFonts w:hint="eastAsia" w:ascii="仿宋_GB2312" w:hAnsi="等线"/>
                <w:color w:val="auto"/>
              </w:rPr>
              <w:t>油料作物播种面积</w:t>
            </w:r>
          </w:p>
        </w:tc>
        <w:tc>
          <w:tcPr>
            <w:tcW w:w="1057" w:type="dxa"/>
            <w:vAlign w:val="center"/>
          </w:tcPr>
          <w:p w14:paraId="34E88822">
            <w:pPr>
              <w:pStyle w:val="45"/>
              <w:jc w:val="center"/>
              <w:rPr>
                <w:color w:val="auto"/>
                <w:lang w:eastAsia="zh-CN"/>
              </w:rPr>
            </w:pPr>
            <w:r>
              <w:rPr>
                <w:rFonts w:hint="eastAsia" w:ascii="仿宋_GB2312" w:hAnsi="等线"/>
                <w:color w:val="auto"/>
              </w:rPr>
              <w:t>万亩</w:t>
            </w:r>
          </w:p>
        </w:tc>
        <w:tc>
          <w:tcPr>
            <w:tcW w:w="1134" w:type="dxa"/>
            <w:vAlign w:val="center"/>
          </w:tcPr>
          <w:p w14:paraId="57BB5D30">
            <w:pPr>
              <w:pStyle w:val="45"/>
              <w:rPr>
                <w:color w:val="auto"/>
                <w:lang w:eastAsia="zh-CN"/>
              </w:rPr>
            </w:pPr>
            <w:r>
              <w:rPr>
                <w:rFonts w:hint="eastAsia"/>
                <w:color w:val="auto"/>
                <w:lang w:eastAsia="zh-CN"/>
              </w:rPr>
              <w:t>＞100</w:t>
            </w:r>
          </w:p>
        </w:tc>
        <w:tc>
          <w:tcPr>
            <w:tcW w:w="1158" w:type="dxa"/>
            <w:vAlign w:val="center"/>
          </w:tcPr>
          <w:p w14:paraId="49F2D64D">
            <w:pPr>
              <w:pStyle w:val="45"/>
              <w:jc w:val="center"/>
              <w:rPr>
                <w:color w:val="auto"/>
              </w:rPr>
            </w:pPr>
            <w:r>
              <w:rPr>
                <w:color w:val="auto"/>
              </w:rPr>
              <w:t>＞</w:t>
            </w:r>
            <w:r>
              <w:rPr>
                <w:rFonts w:hint="eastAsia"/>
                <w:color w:val="auto"/>
              </w:rPr>
              <w:t>100</w:t>
            </w:r>
          </w:p>
        </w:tc>
        <w:tc>
          <w:tcPr>
            <w:tcW w:w="1394" w:type="dxa"/>
            <w:vAlign w:val="center"/>
          </w:tcPr>
          <w:p w14:paraId="041415FA">
            <w:pPr>
              <w:pStyle w:val="45"/>
              <w:jc w:val="center"/>
              <w:rPr>
                <w:color w:val="auto"/>
                <w:lang w:eastAsia="zh-CN"/>
              </w:rPr>
            </w:pPr>
            <w:r>
              <w:rPr>
                <w:rFonts w:hint="eastAsia" w:ascii="仿宋_GB2312" w:hAnsi="等线"/>
                <w:color w:val="auto"/>
              </w:rPr>
              <w:t>预期性</w:t>
            </w:r>
          </w:p>
        </w:tc>
      </w:tr>
      <w:tr w14:paraId="6335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1544E77">
            <w:pPr>
              <w:pStyle w:val="45"/>
              <w:jc w:val="center"/>
              <w:rPr>
                <w:rFonts w:hint="default"/>
                <w:color w:val="auto"/>
                <w:lang w:val="en-US" w:eastAsia="zh-CN"/>
              </w:rPr>
            </w:pPr>
            <w:r>
              <w:rPr>
                <w:rFonts w:hint="eastAsia"/>
                <w:color w:val="auto"/>
                <w:lang w:val="en-US" w:eastAsia="zh-CN"/>
              </w:rPr>
              <w:t>22</w:t>
            </w:r>
          </w:p>
        </w:tc>
        <w:tc>
          <w:tcPr>
            <w:tcW w:w="2912" w:type="dxa"/>
            <w:vAlign w:val="center"/>
          </w:tcPr>
          <w:p w14:paraId="3A52E4A0">
            <w:pPr>
              <w:pStyle w:val="45"/>
              <w:jc w:val="center"/>
              <w:rPr>
                <w:color w:val="auto"/>
                <w:lang w:eastAsia="zh-CN"/>
              </w:rPr>
            </w:pPr>
            <w:r>
              <w:rPr>
                <w:rFonts w:hint="eastAsia" w:ascii="仿宋_GB2312" w:hAnsi="等线"/>
                <w:color w:val="auto"/>
                <w:lang w:eastAsia="zh-CN"/>
              </w:rPr>
              <w:t>主要农产品良种覆盖率</w:t>
            </w:r>
          </w:p>
        </w:tc>
        <w:tc>
          <w:tcPr>
            <w:tcW w:w="1057" w:type="dxa"/>
            <w:vAlign w:val="center"/>
          </w:tcPr>
          <w:p w14:paraId="1919AD36">
            <w:pPr>
              <w:pStyle w:val="45"/>
              <w:jc w:val="center"/>
              <w:rPr>
                <w:color w:val="auto"/>
                <w:lang w:eastAsia="zh-CN"/>
              </w:rPr>
            </w:pPr>
            <w:r>
              <w:rPr>
                <w:rFonts w:eastAsia="等线" w:cs="Times New Roman"/>
                <w:color w:val="auto"/>
              </w:rPr>
              <w:t>%</w:t>
            </w:r>
          </w:p>
        </w:tc>
        <w:tc>
          <w:tcPr>
            <w:tcW w:w="1134" w:type="dxa"/>
            <w:vAlign w:val="center"/>
          </w:tcPr>
          <w:p w14:paraId="0916B75A">
            <w:pPr>
              <w:pStyle w:val="45"/>
              <w:jc w:val="center"/>
              <w:rPr>
                <w:color w:val="auto"/>
              </w:rPr>
            </w:pPr>
            <w:r>
              <w:rPr>
                <w:rFonts w:hint="eastAsia"/>
                <w:color w:val="auto"/>
              </w:rPr>
              <w:t>100</w:t>
            </w:r>
          </w:p>
        </w:tc>
        <w:tc>
          <w:tcPr>
            <w:tcW w:w="1158" w:type="dxa"/>
            <w:vAlign w:val="center"/>
          </w:tcPr>
          <w:p w14:paraId="4784BD27">
            <w:pPr>
              <w:pStyle w:val="45"/>
              <w:jc w:val="center"/>
              <w:rPr>
                <w:color w:val="auto"/>
              </w:rPr>
            </w:pPr>
            <w:r>
              <w:rPr>
                <w:rFonts w:hint="eastAsia"/>
                <w:color w:val="auto"/>
              </w:rPr>
              <w:t>100</w:t>
            </w:r>
          </w:p>
        </w:tc>
        <w:tc>
          <w:tcPr>
            <w:tcW w:w="1394" w:type="dxa"/>
            <w:vAlign w:val="center"/>
          </w:tcPr>
          <w:p w14:paraId="4A59699E">
            <w:pPr>
              <w:pStyle w:val="45"/>
              <w:jc w:val="center"/>
              <w:rPr>
                <w:color w:val="auto"/>
                <w:lang w:eastAsia="zh-CN"/>
              </w:rPr>
            </w:pPr>
            <w:r>
              <w:rPr>
                <w:rFonts w:hint="eastAsia" w:ascii="仿宋_GB2312" w:hAnsi="等线"/>
                <w:color w:val="auto"/>
              </w:rPr>
              <w:t>预期性</w:t>
            </w:r>
          </w:p>
        </w:tc>
      </w:tr>
      <w:tr w14:paraId="057B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E4E2420">
            <w:pPr>
              <w:pStyle w:val="45"/>
              <w:jc w:val="center"/>
              <w:rPr>
                <w:rFonts w:hint="default"/>
                <w:color w:val="auto"/>
                <w:lang w:val="en-US" w:eastAsia="zh-CN"/>
              </w:rPr>
            </w:pPr>
            <w:r>
              <w:rPr>
                <w:rFonts w:hint="eastAsia"/>
                <w:color w:val="auto"/>
                <w:lang w:val="en-US" w:eastAsia="zh-CN"/>
              </w:rPr>
              <w:t>23</w:t>
            </w:r>
          </w:p>
        </w:tc>
        <w:tc>
          <w:tcPr>
            <w:tcW w:w="2912" w:type="dxa"/>
            <w:vAlign w:val="center"/>
          </w:tcPr>
          <w:p w14:paraId="36CCAA2E">
            <w:pPr>
              <w:pStyle w:val="45"/>
              <w:jc w:val="center"/>
              <w:rPr>
                <w:color w:val="auto"/>
                <w:lang w:eastAsia="zh-CN"/>
              </w:rPr>
            </w:pPr>
            <w:r>
              <w:rPr>
                <w:rFonts w:hint="eastAsia" w:ascii="仿宋_GB2312" w:hAnsi="等线"/>
                <w:color w:val="auto"/>
                <w:lang w:eastAsia="zh-CN"/>
              </w:rPr>
              <w:t>规模以上农产品加工业产值（含皮革）</w:t>
            </w:r>
          </w:p>
        </w:tc>
        <w:tc>
          <w:tcPr>
            <w:tcW w:w="1057" w:type="dxa"/>
            <w:vAlign w:val="center"/>
          </w:tcPr>
          <w:p w14:paraId="64A97648">
            <w:pPr>
              <w:pStyle w:val="45"/>
              <w:jc w:val="center"/>
              <w:rPr>
                <w:color w:val="auto"/>
              </w:rPr>
            </w:pPr>
            <w:r>
              <w:rPr>
                <w:rFonts w:hint="eastAsia" w:ascii="仿宋_GB2312" w:hAnsi="等线"/>
                <w:color w:val="auto"/>
              </w:rPr>
              <w:t>亿元</w:t>
            </w:r>
          </w:p>
        </w:tc>
        <w:tc>
          <w:tcPr>
            <w:tcW w:w="1134" w:type="dxa"/>
            <w:vAlign w:val="center"/>
          </w:tcPr>
          <w:p w14:paraId="542BA49C">
            <w:pPr>
              <w:pStyle w:val="45"/>
              <w:jc w:val="center"/>
              <w:rPr>
                <w:color w:val="auto"/>
              </w:rPr>
            </w:pPr>
            <w:r>
              <w:rPr>
                <w:rFonts w:hint="eastAsia"/>
                <w:color w:val="auto"/>
              </w:rPr>
              <w:t>132</w:t>
            </w:r>
          </w:p>
        </w:tc>
        <w:tc>
          <w:tcPr>
            <w:tcW w:w="1158" w:type="dxa"/>
            <w:vAlign w:val="center"/>
          </w:tcPr>
          <w:p w14:paraId="2956E990">
            <w:pPr>
              <w:pStyle w:val="45"/>
              <w:jc w:val="center"/>
              <w:rPr>
                <w:color w:val="auto"/>
                <w:lang w:eastAsia="zh-CN"/>
              </w:rPr>
            </w:pPr>
            <w:r>
              <w:rPr>
                <w:rFonts w:hint="eastAsia"/>
                <w:color w:val="auto"/>
              </w:rPr>
              <w:t>2</w:t>
            </w:r>
            <w:r>
              <w:rPr>
                <w:rFonts w:hint="eastAsia"/>
                <w:color w:val="auto"/>
                <w:lang w:eastAsia="zh-CN"/>
              </w:rPr>
              <w:t>55</w:t>
            </w:r>
          </w:p>
        </w:tc>
        <w:tc>
          <w:tcPr>
            <w:tcW w:w="1394" w:type="dxa"/>
            <w:vAlign w:val="center"/>
          </w:tcPr>
          <w:p w14:paraId="064AFA94">
            <w:pPr>
              <w:pStyle w:val="45"/>
              <w:jc w:val="center"/>
              <w:rPr>
                <w:color w:val="auto"/>
              </w:rPr>
            </w:pPr>
            <w:r>
              <w:rPr>
                <w:color w:val="auto"/>
              </w:rPr>
              <w:t>预期性</w:t>
            </w:r>
          </w:p>
        </w:tc>
      </w:tr>
      <w:tr w14:paraId="69455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6CBB55B">
            <w:pPr>
              <w:pStyle w:val="45"/>
              <w:jc w:val="center"/>
              <w:rPr>
                <w:rFonts w:hint="default"/>
                <w:color w:val="auto"/>
                <w:lang w:val="en-US" w:eastAsia="zh-CN"/>
              </w:rPr>
            </w:pPr>
            <w:r>
              <w:rPr>
                <w:rFonts w:hint="eastAsia"/>
                <w:color w:val="auto"/>
                <w:lang w:val="en-US" w:eastAsia="zh-CN"/>
              </w:rPr>
              <w:t>24</w:t>
            </w:r>
          </w:p>
        </w:tc>
        <w:tc>
          <w:tcPr>
            <w:tcW w:w="2912" w:type="dxa"/>
            <w:vAlign w:val="center"/>
          </w:tcPr>
          <w:p w14:paraId="7FF950DA">
            <w:pPr>
              <w:pStyle w:val="45"/>
              <w:jc w:val="center"/>
              <w:rPr>
                <w:rFonts w:hint="eastAsia" w:ascii="仿宋_GB2312" w:hAnsi="等线"/>
                <w:color w:val="auto"/>
                <w:lang w:eastAsia="zh-CN"/>
              </w:rPr>
            </w:pPr>
            <w:r>
              <w:rPr>
                <w:color w:val="auto"/>
                <w:lang w:eastAsia="zh-CN"/>
              </w:rPr>
              <w:t>“两品一标”及名特优新农产品</w:t>
            </w:r>
          </w:p>
        </w:tc>
        <w:tc>
          <w:tcPr>
            <w:tcW w:w="1057" w:type="dxa"/>
            <w:vAlign w:val="center"/>
          </w:tcPr>
          <w:p w14:paraId="1A9FB182">
            <w:pPr>
              <w:pStyle w:val="45"/>
              <w:jc w:val="center"/>
              <w:rPr>
                <w:rFonts w:hint="eastAsia" w:ascii="仿宋_GB2312" w:hAnsi="等线"/>
                <w:color w:val="auto"/>
              </w:rPr>
            </w:pPr>
            <w:r>
              <w:rPr>
                <w:color w:val="auto"/>
              </w:rPr>
              <w:t>个</w:t>
            </w:r>
          </w:p>
        </w:tc>
        <w:tc>
          <w:tcPr>
            <w:tcW w:w="1134" w:type="dxa"/>
            <w:vAlign w:val="center"/>
          </w:tcPr>
          <w:p w14:paraId="7B699ADF">
            <w:pPr>
              <w:pStyle w:val="45"/>
              <w:jc w:val="center"/>
              <w:rPr>
                <w:rFonts w:hint="eastAsia" w:ascii="仿宋_GB2312" w:hAnsi="等线"/>
                <w:color w:val="auto"/>
              </w:rPr>
            </w:pPr>
            <w:r>
              <w:rPr>
                <w:color w:val="auto"/>
              </w:rPr>
              <w:t>77</w:t>
            </w:r>
          </w:p>
        </w:tc>
        <w:tc>
          <w:tcPr>
            <w:tcW w:w="1158" w:type="dxa"/>
            <w:vAlign w:val="center"/>
          </w:tcPr>
          <w:p w14:paraId="1D674444">
            <w:pPr>
              <w:pStyle w:val="45"/>
              <w:jc w:val="center"/>
              <w:rPr>
                <w:rFonts w:hint="eastAsia" w:ascii="仿宋_GB2312" w:hAnsi="等线"/>
                <w:color w:val="auto"/>
                <w:lang w:eastAsia="zh-CN"/>
              </w:rPr>
            </w:pPr>
            <w:r>
              <w:rPr>
                <w:color w:val="auto"/>
              </w:rPr>
              <w:t>1</w:t>
            </w:r>
            <w:r>
              <w:rPr>
                <w:rFonts w:hint="eastAsia"/>
                <w:color w:val="auto"/>
                <w:lang w:eastAsia="zh-CN"/>
              </w:rPr>
              <w:t>00</w:t>
            </w:r>
          </w:p>
        </w:tc>
        <w:tc>
          <w:tcPr>
            <w:tcW w:w="1394" w:type="dxa"/>
            <w:vAlign w:val="center"/>
          </w:tcPr>
          <w:p w14:paraId="1DB2A3DF">
            <w:pPr>
              <w:pStyle w:val="45"/>
              <w:jc w:val="center"/>
              <w:rPr>
                <w:color w:val="auto"/>
                <w:lang w:eastAsia="zh-CN"/>
              </w:rPr>
            </w:pPr>
            <w:r>
              <w:rPr>
                <w:color w:val="auto"/>
              </w:rPr>
              <w:t>预期性</w:t>
            </w:r>
          </w:p>
        </w:tc>
      </w:tr>
      <w:tr w14:paraId="1E5D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4A285F0">
            <w:pPr>
              <w:pStyle w:val="45"/>
              <w:jc w:val="center"/>
              <w:rPr>
                <w:rFonts w:hint="default"/>
                <w:color w:val="auto"/>
                <w:lang w:val="en-US" w:eastAsia="zh-CN"/>
              </w:rPr>
            </w:pPr>
            <w:r>
              <w:rPr>
                <w:rFonts w:hint="eastAsia"/>
                <w:color w:val="auto"/>
                <w:lang w:val="en-US" w:eastAsia="zh-CN"/>
              </w:rPr>
              <w:t>25</w:t>
            </w:r>
          </w:p>
        </w:tc>
        <w:tc>
          <w:tcPr>
            <w:tcW w:w="2912" w:type="dxa"/>
            <w:vAlign w:val="center"/>
          </w:tcPr>
          <w:p w14:paraId="09F90422">
            <w:pPr>
              <w:pStyle w:val="45"/>
              <w:jc w:val="center"/>
              <w:rPr>
                <w:color w:val="auto"/>
                <w:lang w:eastAsia="zh-CN"/>
              </w:rPr>
            </w:pPr>
            <w:r>
              <w:rPr>
                <w:rFonts w:hint="eastAsia" w:ascii="仿宋_GB2312" w:hAnsi="等线"/>
                <w:color w:val="auto"/>
              </w:rPr>
              <w:t>农膜回收率</w:t>
            </w:r>
          </w:p>
        </w:tc>
        <w:tc>
          <w:tcPr>
            <w:tcW w:w="1057" w:type="dxa"/>
            <w:vAlign w:val="center"/>
          </w:tcPr>
          <w:p w14:paraId="31204BD1">
            <w:pPr>
              <w:pStyle w:val="45"/>
              <w:jc w:val="center"/>
              <w:rPr>
                <w:color w:val="auto"/>
                <w:lang w:eastAsia="zh-CN"/>
              </w:rPr>
            </w:pPr>
            <w:r>
              <w:rPr>
                <w:rFonts w:eastAsia="等线" w:cs="Times New Roman"/>
                <w:color w:val="auto"/>
              </w:rPr>
              <w:t>%</w:t>
            </w:r>
          </w:p>
        </w:tc>
        <w:tc>
          <w:tcPr>
            <w:tcW w:w="1134" w:type="dxa"/>
            <w:vAlign w:val="center"/>
          </w:tcPr>
          <w:p w14:paraId="3F0964FF">
            <w:pPr>
              <w:pStyle w:val="45"/>
              <w:jc w:val="center"/>
              <w:rPr>
                <w:color w:val="auto"/>
              </w:rPr>
            </w:pPr>
            <w:r>
              <w:rPr>
                <w:rFonts w:hint="eastAsia"/>
                <w:color w:val="auto"/>
              </w:rPr>
              <w:t>＞85</w:t>
            </w:r>
          </w:p>
        </w:tc>
        <w:tc>
          <w:tcPr>
            <w:tcW w:w="1158" w:type="dxa"/>
            <w:vAlign w:val="center"/>
          </w:tcPr>
          <w:p w14:paraId="66745CD5">
            <w:pPr>
              <w:pStyle w:val="45"/>
              <w:jc w:val="center"/>
              <w:rPr>
                <w:color w:val="auto"/>
                <w:lang w:eastAsia="zh-CN"/>
              </w:rPr>
            </w:pPr>
            <w:r>
              <w:rPr>
                <w:rFonts w:hint="eastAsia"/>
                <w:color w:val="auto"/>
                <w:lang w:eastAsia="zh-CN"/>
              </w:rPr>
              <w:t>＞90</w:t>
            </w:r>
          </w:p>
        </w:tc>
        <w:tc>
          <w:tcPr>
            <w:tcW w:w="1394" w:type="dxa"/>
            <w:vAlign w:val="center"/>
          </w:tcPr>
          <w:p w14:paraId="191A3B30">
            <w:pPr>
              <w:pStyle w:val="45"/>
              <w:jc w:val="center"/>
              <w:rPr>
                <w:color w:val="auto"/>
                <w:lang w:eastAsia="zh-CN"/>
              </w:rPr>
            </w:pPr>
            <w:r>
              <w:rPr>
                <w:rFonts w:hint="eastAsia" w:ascii="仿宋_GB2312" w:hAnsi="等线"/>
                <w:color w:val="auto"/>
              </w:rPr>
              <w:t>预期性</w:t>
            </w:r>
          </w:p>
        </w:tc>
      </w:tr>
      <w:tr w14:paraId="64673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D188D4C">
            <w:pPr>
              <w:pStyle w:val="45"/>
              <w:jc w:val="center"/>
              <w:rPr>
                <w:rFonts w:hint="default"/>
                <w:color w:val="auto"/>
                <w:lang w:val="en-US" w:eastAsia="zh-CN"/>
              </w:rPr>
            </w:pPr>
            <w:r>
              <w:rPr>
                <w:rFonts w:hint="eastAsia"/>
                <w:color w:val="auto"/>
                <w:lang w:val="en-US" w:eastAsia="zh-CN"/>
              </w:rPr>
              <w:t>26</w:t>
            </w:r>
          </w:p>
        </w:tc>
        <w:tc>
          <w:tcPr>
            <w:tcW w:w="2912" w:type="dxa"/>
            <w:vAlign w:val="center"/>
          </w:tcPr>
          <w:p w14:paraId="31F19CAA">
            <w:pPr>
              <w:pStyle w:val="45"/>
              <w:jc w:val="center"/>
              <w:rPr>
                <w:color w:val="auto"/>
                <w:lang w:eastAsia="zh-CN"/>
              </w:rPr>
            </w:pPr>
            <w:r>
              <w:rPr>
                <w:rFonts w:hint="eastAsia" w:ascii="仿宋_GB2312" w:hAnsi="等线"/>
                <w:color w:val="auto"/>
                <w:lang w:eastAsia="zh-CN"/>
              </w:rPr>
              <w:t>农作物秸秆综合利用率</w:t>
            </w:r>
          </w:p>
        </w:tc>
        <w:tc>
          <w:tcPr>
            <w:tcW w:w="1057" w:type="dxa"/>
            <w:vAlign w:val="center"/>
          </w:tcPr>
          <w:p w14:paraId="1D13E992">
            <w:pPr>
              <w:pStyle w:val="45"/>
              <w:jc w:val="center"/>
              <w:rPr>
                <w:color w:val="auto"/>
                <w:lang w:eastAsia="zh-CN"/>
              </w:rPr>
            </w:pPr>
            <w:r>
              <w:rPr>
                <w:rFonts w:eastAsia="等线" w:cs="Times New Roman"/>
                <w:color w:val="auto"/>
              </w:rPr>
              <w:t>%</w:t>
            </w:r>
          </w:p>
        </w:tc>
        <w:tc>
          <w:tcPr>
            <w:tcW w:w="1134" w:type="dxa"/>
            <w:vAlign w:val="center"/>
          </w:tcPr>
          <w:p w14:paraId="1FF44847">
            <w:pPr>
              <w:pStyle w:val="45"/>
              <w:jc w:val="center"/>
              <w:rPr>
                <w:color w:val="auto"/>
              </w:rPr>
            </w:pPr>
            <w:r>
              <w:rPr>
                <w:rFonts w:hint="eastAsia"/>
                <w:color w:val="auto"/>
              </w:rPr>
              <w:t>90</w:t>
            </w:r>
          </w:p>
        </w:tc>
        <w:tc>
          <w:tcPr>
            <w:tcW w:w="1158" w:type="dxa"/>
            <w:vAlign w:val="center"/>
          </w:tcPr>
          <w:p w14:paraId="79859525">
            <w:pPr>
              <w:pStyle w:val="45"/>
              <w:jc w:val="center"/>
              <w:rPr>
                <w:color w:val="auto"/>
                <w:lang w:eastAsia="zh-CN"/>
              </w:rPr>
            </w:pPr>
            <w:r>
              <w:rPr>
                <w:rFonts w:hint="eastAsia"/>
                <w:color w:val="auto"/>
                <w:lang w:eastAsia="zh-CN"/>
              </w:rPr>
              <w:t>90</w:t>
            </w:r>
          </w:p>
        </w:tc>
        <w:tc>
          <w:tcPr>
            <w:tcW w:w="1394" w:type="dxa"/>
            <w:vAlign w:val="center"/>
          </w:tcPr>
          <w:p w14:paraId="14B7A5FA">
            <w:pPr>
              <w:pStyle w:val="45"/>
              <w:jc w:val="center"/>
              <w:rPr>
                <w:color w:val="auto"/>
                <w:lang w:eastAsia="zh-CN"/>
              </w:rPr>
            </w:pPr>
            <w:r>
              <w:rPr>
                <w:rFonts w:hint="eastAsia" w:ascii="仿宋_GB2312" w:hAnsi="等线"/>
                <w:color w:val="auto"/>
              </w:rPr>
              <w:t>预期性</w:t>
            </w:r>
          </w:p>
        </w:tc>
      </w:tr>
      <w:tr w14:paraId="0D6A0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626DAE5">
            <w:pPr>
              <w:pStyle w:val="45"/>
              <w:jc w:val="center"/>
              <w:rPr>
                <w:rFonts w:hint="default"/>
                <w:color w:val="auto"/>
                <w:lang w:val="en-US" w:eastAsia="zh-CN"/>
              </w:rPr>
            </w:pPr>
            <w:r>
              <w:rPr>
                <w:rFonts w:hint="eastAsia"/>
                <w:color w:val="auto"/>
                <w:lang w:val="en-US" w:eastAsia="zh-CN"/>
              </w:rPr>
              <w:t>27</w:t>
            </w:r>
          </w:p>
        </w:tc>
        <w:tc>
          <w:tcPr>
            <w:tcW w:w="2912" w:type="dxa"/>
            <w:vAlign w:val="center"/>
          </w:tcPr>
          <w:p w14:paraId="7BA8748E">
            <w:pPr>
              <w:pStyle w:val="45"/>
              <w:jc w:val="center"/>
              <w:rPr>
                <w:color w:val="auto"/>
                <w:lang w:eastAsia="zh-CN"/>
              </w:rPr>
            </w:pPr>
            <w:r>
              <w:rPr>
                <w:rFonts w:hint="eastAsia" w:ascii="仿宋_GB2312" w:hAnsi="等线"/>
                <w:color w:val="auto"/>
                <w:lang w:eastAsia="zh-CN"/>
              </w:rPr>
              <w:t>生活垃圾分类行政村的占比</w:t>
            </w:r>
          </w:p>
        </w:tc>
        <w:tc>
          <w:tcPr>
            <w:tcW w:w="1057" w:type="dxa"/>
            <w:vAlign w:val="center"/>
          </w:tcPr>
          <w:p w14:paraId="088C64F9">
            <w:pPr>
              <w:pStyle w:val="45"/>
              <w:jc w:val="center"/>
              <w:rPr>
                <w:color w:val="auto"/>
                <w:lang w:eastAsia="zh-CN"/>
              </w:rPr>
            </w:pPr>
            <w:r>
              <w:rPr>
                <w:rFonts w:eastAsia="等线" w:cs="Times New Roman"/>
                <w:color w:val="auto"/>
              </w:rPr>
              <w:t>%</w:t>
            </w:r>
          </w:p>
        </w:tc>
        <w:tc>
          <w:tcPr>
            <w:tcW w:w="1134" w:type="dxa"/>
            <w:vAlign w:val="center"/>
          </w:tcPr>
          <w:p w14:paraId="0D0A61D4">
            <w:pPr>
              <w:pStyle w:val="45"/>
              <w:jc w:val="center"/>
              <w:rPr>
                <w:color w:val="auto"/>
              </w:rPr>
            </w:pPr>
          </w:p>
        </w:tc>
        <w:tc>
          <w:tcPr>
            <w:tcW w:w="1158" w:type="dxa"/>
            <w:vAlign w:val="center"/>
          </w:tcPr>
          <w:p w14:paraId="6257AC6C">
            <w:pPr>
              <w:pStyle w:val="45"/>
              <w:jc w:val="center"/>
              <w:rPr>
                <w:color w:val="auto"/>
              </w:rPr>
            </w:pPr>
            <w:r>
              <w:rPr>
                <w:color w:val="auto"/>
              </w:rPr>
              <w:t>＞</w:t>
            </w:r>
            <w:r>
              <w:rPr>
                <w:rFonts w:hint="eastAsia"/>
                <w:color w:val="auto"/>
              </w:rPr>
              <w:t>80</w:t>
            </w:r>
          </w:p>
        </w:tc>
        <w:tc>
          <w:tcPr>
            <w:tcW w:w="1394" w:type="dxa"/>
            <w:vAlign w:val="center"/>
          </w:tcPr>
          <w:p w14:paraId="587EA418">
            <w:pPr>
              <w:pStyle w:val="45"/>
              <w:jc w:val="center"/>
              <w:rPr>
                <w:color w:val="auto"/>
                <w:lang w:eastAsia="zh-CN"/>
              </w:rPr>
            </w:pPr>
            <w:r>
              <w:rPr>
                <w:rFonts w:hint="eastAsia" w:ascii="仿宋_GB2312" w:hAnsi="等线"/>
                <w:color w:val="auto"/>
              </w:rPr>
              <w:t>预期性</w:t>
            </w:r>
          </w:p>
        </w:tc>
      </w:tr>
      <w:tr w14:paraId="4CBB1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764E87">
            <w:pPr>
              <w:pStyle w:val="45"/>
              <w:jc w:val="center"/>
              <w:rPr>
                <w:rFonts w:hint="default"/>
                <w:color w:val="auto"/>
                <w:lang w:val="en-US" w:eastAsia="zh-CN"/>
              </w:rPr>
            </w:pPr>
            <w:r>
              <w:rPr>
                <w:rFonts w:hint="eastAsia"/>
                <w:color w:val="auto"/>
                <w:lang w:val="en-US" w:eastAsia="zh-CN"/>
              </w:rPr>
              <w:t>28</w:t>
            </w:r>
          </w:p>
        </w:tc>
        <w:tc>
          <w:tcPr>
            <w:tcW w:w="2912" w:type="dxa"/>
            <w:vAlign w:val="center"/>
          </w:tcPr>
          <w:p w14:paraId="50AF60EA">
            <w:pPr>
              <w:pStyle w:val="45"/>
              <w:jc w:val="center"/>
              <w:rPr>
                <w:color w:val="auto"/>
                <w:lang w:eastAsia="zh-CN"/>
              </w:rPr>
            </w:pPr>
            <w:r>
              <w:rPr>
                <w:rFonts w:hint="eastAsia" w:ascii="仿宋_GB2312" w:hAnsi="等线"/>
                <w:color w:val="auto"/>
                <w:lang w:eastAsia="zh-CN"/>
              </w:rPr>
              <w:t>农村人居环境整治纳入村规民约的行政村占比率</w:t>
            </w:r>
          </w:p>
        </w:tc>
        <w:tc>
          <w:tcPr>
            <w:tcW w:w="1057" w:type="dxa"/>
            <w:vAlign w:val="center"/>
          </w:tcPr>
          <w:p w14:paraId="7325E2F9">
            <w:pPr>
              <w:pStyle w:val="45"/>
              <w:jc w:val="center"/>
              <w:rPr>
                <w:color w:val="auto"/>
                <w:lang w:eastAsia="zh-CN"/>
              </w:rPr>
            </w:pPr>
            <w:r>
              <w:rPr>
                <w:rFonts w:eastAsia="等线" w:cs="Times New Roman"/>
                <w:color w:val="auto"/>
              </w:rPr>
              <w:t>%</w:t>
            </w:r>
          </w:p>
        </w:tc>
        <w:tc>
          <w:tcPr>
            <w:tcW w:w="1134" w:type="dxa"/>
            <w:vAlign w:val="center"/>
          </w:tcPr>
          <w:p w14:paraId="0F814EDD">
            <w:pPr>
              <w:pStyle w:val="45"/>
              <w:jc w:val="center"/>
              <w:rPr>
                <w:color w:val="auto"/>
              </w:rPr>
            </w:pPr>
            <w:r>
              <w:rPr>
                <w:rFonts w:hint="eastAsia"/>
                <w:color w:val="auto"/>
              </w:rPr>
              <w:t>100</w:t>
            </w:r>
          </w:p>
        </w:tc>
        <w:tc>
          <w:tcPr>
            <w:tcW w:w="1158" w:type="dxa"/>
            <w:vAlign w:val="center"/>
          </w:tcPr>
          <w:p w14:paraId="6EBB370B">
            <w:pPr>
              <w:pStyle w:val="45"/>
              <w:jc w:val="center"/>
              <w:rPr>
                <w:color w:val="auto"/>
              </w:rPr>
            </w:pPr>
            <w:r>
              <w:rPr>
                <w:rFonts w:hint="eastAsia"/>
                <w:color w:val="auto"/>
              </w:rPr>
              <w:t>100</w:t>
            </w:r>
          </w:p>
        </w:tc>
        <w:tc>
          <w:tcPr>
            <w:tcW w:w="1394" w:type="dxa"/>
            <w:vAlign w:val="center"/>
          </w:tcPr>
          <w:p w14:paraId="1F3B9B22">
            <w:pPr>
              <w:pStyle w:val="45"/>
              <w:jc w:val="center"/>
              <w:rPr>
                <w:color w:val="auto"/>
                <w:lang w:eastAsia="zh-CN"/>
              </w:rPr>
            </w:pPr>
            <w:r>
              <w:rPr>
                <w:rFonts w:hint="eastAsia" w:ascii="仿宋_GB2312" w:hAnsi="等线"/>
                <w:color w:val="auto"/>
              </w:rPr>
              <w:t>预期性</w:t>
            </w:r>
          </w:p>
        </w:tc>
      </w:tr>
      <w:tr w14:paraId="7B03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04" w:type="dxa"/>
            <w:vAlign w:val="center"/>
          </w:tcPr>
          <w:p w14:paraId="41740384">
            <w:pPr>
              <w:pStyle w:val="45"/>
              <w:jc w:val="center"/>
              <w:rPr>
                <w:rFonts w:hint="default"/>
                <w:color w:val="auto"/>
                <w:lang w:val="en-US" w:eastAsia="zh-CN"/>
              </w:rPr>
            </w:pPr>
            <w:r>
              <w:rPr>
                <w:rFonts w:hint="eastAsia"/>
                <w:color w:val="auto"/>
                <w:lang w:val="en-US" w:eastAsia="zh-CN"/>
              </w:rPr>
              <w:t>29</w:t>
            </w:r>
          </w:p>
        </w:tc>
        <w:tc>
          <w:tcPr>
            <w:tcW w:w="2912" w:type="dxa"/>
            <w:vAlign w:val="center"/>
          </w:tcPr>
          <w:p w14:paraId="1AB7ACF5">
            <w:pPr>
              <w:pStyle w:val="45"/>
              <w:jc w:val="center"/>
              <w:rPr>
                <w:rFonts w:hint="eastAsia" w:ascii="仿宋_GB2312" w:hAnsi="等线"/>
                <w:color w:val="auto"/>
              </w:rPr>
            </w:pPr>
            <w:r>
              <w:rPr>
                <w:color w:val="auto"/>
              </w:rPr>
              <w:t>行政村5G通达率</w:t>
            </w:r>
          </w:p>
        </w:tc>
        <w:tc>
          <w:tcPr>
            <w:tcW w:w="1057" w:type="dxa"/>
            <w:vAlign w:val="center"/>
          </w:tcPr>
          <w:p w14:paraId="1372E9DB">
            <w:pPr>
              <w:pStyle w:val="45"/>
              <w:jc w:val="center"/>
              <w:rPr>
                <w:rFonts w:eastAsia="等线" w:cs="Times New Roman"/>
                <w:color w:val="auto"/>
              </w:rPr>
            </w:pPr>
            <w:r>
              <w:rPr>
                <w:color w:val="auto"/>
              </w:rPr>
              <w:t>%</w:t>
            </w:r>
          </w:p>
        </w:tc>
        <w:tc>
          <w:tcPr>
            <w:tcW w:w="1134" w:type="dxa"/>
            <w:vAlign w:val="center"/>
          </w:tcPr>
          <w:p w14:paraId="3A822889">
            <w:pPr>
              <w:pStyle w:val="45"/>
              <w:jc w:val="center"/>
              <w:rPr>
                <w:color w:val="auto"/>
                <w:lang w:eastAsia="zh-CN"/>
              </w:rPr>
            </w:pPr>
          </w:p>
        </w:tc>
        <w:tc>
          <w:tcPr>
            <w:tcW w:w="1158" w:type="dxa"/>
            <w:vAlign w:val="center"/>
          </w:tcPr>
          <w:p w14:paraId="2E59EF87">
            <w:pPr>
              <w:pStyle w:val="45"/>
              <w:jc w:val="center"/>
              <w:rPr>
                <w:color w:val="auto"/>
                <w:lang w:eastAsia="zh-CN"/>
              </w:rPr>
            </w:pPr>
            <w:r>
              <w:rPr>
                <w:color w:val="auto"/>
              </w:rPr>
              <w:t>100</w:t>
            </w:r>
          </w:p>
        </w:tc>
        <w:tc>
          <w:tcPr>
            <w:tcW w:w="1394" w:type="dxa"/>
            <w:vAlign w:val="center"/>
          </w:tcPr>
          <w:p w14:paraId="4B46ED20">
            <w:pPr>
              <w:pStyle w:val="45"/>
              <w:jc w:val="center"/>
              <w:rPr>
                <w:rFonts w:hint="eastAsia" w:ascii="仿宋_GB2312" w:hAnsi="等线"/>
                <w:color w:val="auto"/>
              </w:rPr>
            </w:pPr>
            <w:r>
              <w:rPr>
                <w:color w:val="auto"/>
              </w:rPr>
              <w:t>预期性</w:t>
            </w:r>
          </w:p>
        </w:tc>
      </w:tr>
    </w:tbl>
    <w:p w14:paraId="04D06777">
      <w:pPr>
        <w:ind w:firstLine="640"/>
        <w:rPr>
          <w:lang w:eastAsia="zh-CN"/>
        </w:rPr>
      </w:pPr>
      <w:r>
        <w:rPr>
          <w:color w:val="auto"/>
          <w:lang w:eastAsia="zh-CN"/>
        </w:rPr>
        <w:t>注：基准值</w:t>
      </w:r>
      <w:r>
        <w:rPr>
          <w:rFonts w:hint="eastAsia"/>
          <w:color w:val="auto"/>
          <w:lang w:eastAsia="zh-CN"/>
        </w:rPr>
        <w:t>为</w:t>
      </w:r>
      <w:r>
        <w:rPr>
          <w:color w:val="auto"/>
          <w:lang w:eastAsia="zh-CN"/>
        </w:rPr>
        <w:t>2025年统计</w:t>
      </w:r>
      <w:r>
        <w:rPr>
          <w:rFonts w:hint="eastAsia"/>
          <w:color w:val="auto"/>
          <w:lang w:eastAsia="zh-CN"/>
        </w:rPr>
        <w:t>数据。</w:t>
      </w:r>
    </w:p>
    <w:p w14:paraId="4A1DEFE2">
      <w:pPr>
        <w:pStyle w:val="2"/>
        <w:ind w:firstLine="643"/>
        <w:rPr>
          <w:lang w:eastAsia="zh-CN"/>
        </w:rPr>
      </w:pPr>
      <w:r>
        <w:rPr>
          <w:lang w:eastAsia="zh-CN"/>
        </w:rPr>
        <w:t>二、筑牢粮食安全根基，建设优质粮油主产区</w:t>
      </w:r>
    </w:p>
    <w:p w14:paraId="79889F05">
      <w:pPr>
        <w:ind w:firstLine="640"/>
        <w:rPr>
          <w:lang w:eastAsia="zh-CN"/>
        </w:rPr>
      </w:pPr>
      <w:r>
        <w:rPr>
          <w:lang w:eastAsia="zh-CN"/>
        </w:rPr>
        <w:t>坚持藏粮于地、藏粮于技，以提升粮食综合生产能力为核心，强化耕地保护与质量建设，健全防灾减灾体系，坚持产量产能、数量质量、生产生态一起抓，落实粮食安全党政同责，健全种粮农民收益保障机制，构建系统完备、科学规范的粮食安全保障体系。</w:t>
      </w:r>
    </w:p>
    <w:p w14:paraId="09496E91">
      <w:pPr>
        <w:pStyle w:val="3"/>
        <w:ind w:firstLine="643"/>
        <w:rPr>
          <w:lang w:eastAsia="zh-CN"/>
        </w:rPr>
      </w:pPr>
      <w:r>
        <w:rPr>
          <w:rFonts w:hint="eastAsia"/>
          <w:lang w:eastAsia="zh-CN"/>
        </w:rPr>
        <w:t>（五）</w:t>
      </w:r>
      <w:r>
        <w:rPr>
          <w:lang w:eastAsia="zh-CN"/>
        </w:rPr>
        <w:t>严守耕地保护红线</w:t>
      </w:r>
    </w:p>
    <w:p w14:paraId="61236BF1">
      <w:pPr>
        <w:ind w:firstLine="640"/>
        <w:rPr>
          <w:lang w:eastAsia="zh-CN"/>
        </w:rPr>
      </w:pPr>
      <w:r>
        <w:rPr>
          <w:lang w:eastAsia="zh-CN"/>
        </w:rPr>
        <w:t>把耕地保护作为粮食安全首要</w:t>
      </w:r>
      <w:r>
        <w:rPr>
          <w:rFonts w:hint="eastAsia"/>
          <w:lang w:eastAsia="zh-CN"/>
        </w:rPr>
        <w:t>任务</w:t>
      </w:r>
      <w:r>
        <w:rPr>
          <w:lang w:eastAsia="zh-CN"/>
        </w:rPr>
        <w:t>，严守永久基本农田划定标准，</w:t>
      </w:r>
      <w:r>
        <w:rPr>
          <w:rFonts w:hint="eastAsia"/>
          <w:lang w:eastAsia="zh-CN"/>
        </w:rPr>
        <w:t>结</w:t>
      </w:r>
      <w:r>
        <w:rPr>
          <w:lang w:eastAsia="zh-CN"/>
        </w:rPr>
        <w:t>合19%沙化耕地现状同步推进沙地分类管控，保障治理地块优先种粮</w:t>
      </w:r>
      <w:r>
        <w:rPr>
          <w:rFonts w:hint="eastAsia"/>
          <w:lang w:eastAsia="zh-CN"/>
        </w:rPr>
        <w:t>，</w:t>
      </w:r>
      <w:r>
        <w:rPr>
          <w:lang w:eastAsia="zh-CN"/>
        </w:rPr>
        <w:t>稳定粮食播种面积560万亩以上。刚性遏制耕地“非农化”、严格管控“非粮化”，搭建天空地一体化动态监测网络，</w:t>
      </w:r>
      <w:r>
        <w:rPr>
          <w:rFonts w:hint="eastAsia"/>
          <w:lang w:eastAsia="zh-CN"/>
        </w:rPr>
        <w:t>及时解决违规占用耕地问题</w:t>
      </w:r>
      <w:r>
        <w:rPr>
          <w:lang w:eastAsia="zh-CN"/>
        </w:rPr>
        <w:t>。因地制宜优化耕地布局，落实占补平衡、撂荒复耕政策，引导适度规模经营提升产出。压实耕地保护</w:t>
      </w:r>
      <w:r>
        <w:rPr>
          <w:rFonts w:hint="eastAsia"/>
          <w:lang w:eastAsia="zh-CN"/>
        </w:rPr>
        <w:t>责任体</w:t>
      </w:r>
      <w:r>
        <w:rPr>
          <w:lang w:eastAsia="zh-CN"/>
        </w:rPr>
        <w:t>系。</w:t>
      </w:r>
    </w:p>
    <w:p w14:paraId="26F0F064">
      <w:pPr>
        <w:pStyle w:val="3"/>
        <w:ind w:firstLine="643"/>
        <w:rPr>
          <w:lang w:eastAsia="zh-CN"/>
        </w:rPr>
      </w:pPr>
      <w:r>
        <w:rPr>
          <w:rFonts w:hint="eastAsia"/>
          <w:lang w:eastAsia="zh-CN"/>
        </w:rPr>
        <w:t>（六）</w:t>
      </w:r>
      <w:r>
        <w:rPr>
          <w:lang w:eastAsia="zh-CN"/>
        </w:rPr>
        <w:t>提升耕地质量与产能</w:t>
      </w:r>
    </w:p>
    <w:p w14:paraId="0442FF21">
      <w:pPr>
        <w:ind w:firstLine="640"/>
        <w:rPr>
          <w:lang w:eastAsia="zh-CN"/>
        </w:rPr>
      </w:pPr>
      <w:r>
        <w:rPr>
          <w:lang w:eastAsia="zh-CN"/>
        </w:rPr>
        <w:t>聚焦阜新耕地质量偏低、沙化突出、灌溉不足等短板，以高标准农田建设为抓手，统筹推进黑土地保护、沙化耕地治理、农田水利建设等工程，</w:t>
      </w:r>
      <w:r>
        <w:rPr>
          <w:rFonts w:hint="eastAsia"/>
          <w:lang w:eastAsia="zh-CN"/>
        </w:rPr>
        <w:t>系统</w:t>
      </w:r>
      <w:r>
        <w:rPr>
          <w:lang w:eastAsia="zh-CN"/>
        </w:rPr>
        <w:t>提升耕地</w:t>
      </w:r>
      <w:r>
        <w:rPr>
          <w:rFonts w:hint="eastAsia"/>
          <w:lang w:eastAsia="zh-CN"/>
        </w:rPr>
        <w:t>产能</w:t>
      </w:r>
      <w:r>
        <w:rPr>
          <w:lang w:eastAsia="zh-CN"/>
        </w:rPr>
        <w:t>。</w:t>
      </w:r>
      <w:r>
        <w:rPr>
          <w:rFonts w:hint="eastAsia"/>
          <w:lang w:eastAsia="zh-CN"/>
        </w:rPr>
        <w:t>高质量推进</w:t>
      </w:r>
      <w:r>
        <w:rPr>
          <w:lang w:eastAsia="zh-CN"/>
        </w:rPr>
        <w:t>高标准农田</w:t>
      </w:r>
      <w:r>
        <w:rPr>
          <w:rFonts w:hint="eastAsia"/>
          <w:lang w:eastAsia="zh-CN"/>
        </w:rPr>
        <w:t>建设</w:t>
      </w:r>
      <w:r>
        <w:rPr>
          <w:lang w:eastAsia="zh-CN"/>
        </w:rPr>
        <w:t>，实施黑土地保护</w:t>
      </w:r>
      <w:r>
        <w:rPr>
          <w:rFonts w:hint="eastAsia"/>
          <w:lang w:eastAsia="zh-CN"/>
        </w:rPr>
        <w:t>性耕作行动计划，持续扩大保护性耕作面积，</w:t>
      </w:r>
      <w:r>
        <w:rPr>
          <w:lang w:eastAsia="zh-CN"/>
        </w:rPr>
        <w:t>推广增施有机肥、测土配方施肥等技术</w:t>
      </w:r>
      <w:r>
        <w:rPr>
          <w:rFonts w:hint="eastAsia"/>
          <w:lang w:eastAsia="zh-CN"/>
        </w:rPr>
        <w:t>，</w:t>
      </w:r>
      <w:r>
        <w:rPr>
          <w:lang w:eastAsia="zh-CN"/>
        </w:rPr>
        <w:t>将耕地质量提升与科尔沁沙地歼灭战深度融合，推进灌区现代化改造与高效节水灌溉，建设耕地质量长期监测点，落实耕地地力保护补贴政策，稳步提升耕地</w:t>
      </w:r>
      <w:r>
        <w:rPr>
          <w:rFonts w:hint="eastAsia"/>
          <w:lang w:eastAsia="zh-CN"/>
        </w:rPr>
        <w:t>综合生产能力</w:t>
      </w:r>
      <w:r>
        <w:rPr>
          <w:lang w:eastAsia="zh-CN"/>
        </w:rPr>
        <w:t>。</w:t>
      </w:r>
    </w:p>
    <w:p w14:paraId="19423D74">
      <w:pPr>
        <w:pStyle w:val="3"/>
        <w:ind w:firstLine="643"/>
        <w:rPr>
          <w:lang w:eastAsia="zh-CN"/>
        </w:rPr>
      </w:pPr>
      <w:r>
        <w:rPr>
          <w:rFonts w:hint="eastAsia"/>
          <w:lang w:eastAsia="zh-CN"/>
        </w:rPr>
        <w:t>（七）</w:t>
      </w:r>
      <w:r>
        <w:rPr>
          <w:lang w:eastAsia="zh-CN"/>
        </w:rPr>
        <w:t>集成推广单产提升技术</w:t>
      </w:r>
    </w:p>
    <w:p w14:paraId="1D3C41EA">
      <w:pPr>
        <w:ind w:firstLine="640"/>
        <w:rPr>
          <w:lang w:eastAsia="zh-CN"/>
        </w:rPr>
      </w:pPr>
      <w:r>
        <w:rPr>
          <w:lang w:eastAsia="zh-CN"/>
        </w:rPr>
        <w:t>坚持科技创新驱动，搭建“</w:t>
      </w:r>
      <w:r>
        <w:rPr>
          <w:rFonts w:hint="eastAsia"/>
          <w:lang w:eastAsia="zh-CN"/>
        </w:rPr>
        <w:t>良田+</w:t>
      </w:r>
      <w:r>
        <w:rPr>
          <w:lang w:eastAsia="zh-CN"/>
        </w:rPr>
        <w:t>良种+良法+良机”一体化粮食增产体系，系统推进粮油单产提升工程。实现主要农作物良种全覆盖。因地制宜推广密植、节水、保护性耕作、覆膜滴灌等技术，同步推进化肥农药减量增效。加快智能农机普及应用，推动农机农艺深度适配，培育专业农机操作人才，力争机械化率突破9</w:t>
      </w:r>
      <w:r>
        <w:rPr>
          <w:rFonts w:hint="eastAsia"/>
          <w:lang w:eastAsia="zh-CN"/>
        </w:rPr>
        <w:t>4.5</w:t>
      </w:r>
      <w:r>
        <w:rPr>
          <w:lang w:eastAsia="zh-CN"/>
        </w:rPr>
        <w:t>%。完善</w:t>
      </w:r>
      <w:r>
        <w:rPr>
          <w:rFonts w:hint="eastAsia"/>
          <w:lang w:eastAsia="zh-CN"/>
        </w:rPr>
        <w:t>基层</w:t>
      </w:r>
      <w:r>
        <w:rPr>
          <w:lang w:eastAsia="zh-CN"/>
        </w:rPr>
        <w:t>农技</w:t>
      </w:r>
      <w:r>
        <w:rPr>
          <w:rFonts w:hint="eastAsia"/>
          <w:lang w:eastAsia="zh-CN"/>
        </w:rPr>
        <w:t>推广服务</w:t>
      </w:r>
      <w:r>
        <w:rPr>
          <w:lang w:eastAsia="zh-CN"/>
        </w:rPr>
        <w:t>网络，</w:t>
      </w:r>
      <w:r>
        <w:rPr>
          <w:rFonts w:hint="eastAsia"/>
          <w:lang w:eastAsia="zh-CN"/>
        </w:rPr>
        <w:t>组建技术服务团队，</w:t>
      </w:r>
      <w:r>
        <w:rPr>
          <w:lang w:eastAsia="zh-CN"/>
        </w:rPr>
        <w:t>分区定制技术方案，</w:t>
      </w:r>
      <w:r>
        <w:rPr>
          <w:rFonts w:hint="eastAsia"/>
          <w:lang w:eastAsia="zh-CN"/>
        </w:rPr>
        <w:t>打造</w:t>
      </w:r>
      <w:r>
        <w:rPr>
          <w:lang w:eastAsia="zh-CN"/>
        </w:rPr>
        <w:t>高产示范片区，以典型引领全域产能提升。</w:t>
      </w:r>
    </w:p>
    <w:p w14:paraId="2BB97F62">
      <w:pPr>
        <w:pStyle w:val="3"/>
        <w:ind w:firstLine="643"/>
        <w:rPr>
          <w:lang w:eastAsia="zh-CN"/>
        </w:rPr>
      </w:pPr>
      <w:r>
        <w:rPr>
          <w:rFonts w:hint="eastAsia"/>
          <w:lang w:eastAsia="zh-CN"/>
        </w:rPr>
        <w:t>（八）</w:t>
      </w:r>
      <w:r>
        <w:rPr>
          <w:lang w:eastAsia="zh-CN"/>
        </w:rPr>
        <w:t>健全农业防灾减灾体系</w:t>
      </w:r>
    </w:p>
    <w:p w14:paraId="0658901F">
      <w:pPr>
        <w:ind w:firstLine="640"/>
        <w:rPr>
          <w:lang w:eastAsia="zh-CN"/>
        </w:rPr>
      </w:pPr>
      <w:r>
        <w:rPr>
          <w:lang w:eastAsia="zh-CN"/>
        </w:rPr>
        <w:t>整合气象、农业农村、水利资源，建设全域智能化监测预警平台。制定旱涝、病虫应急预案，健全市县级救灾种子、化肥储备，完善预警发布与应急响应联动机制。加强农作物病虫害统防统治与植物检疫，提升重大病虫害防控能力。扩大农业保险覆盖面，探索气象指数保险与产量保险，推进政策性农业保险提标扩面，增强粮食生产韧性。</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21A0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E9DAD9C">
            <w:pPr>
              <w:spacing w:line="276" w:lineRule="auto"/>
              <w:ind w:firstLine="0" w:firstLineChars="0"/>
              <w:jc w:val="center"/>
              <w:rPr>
                <w:b/>
                <w:bCs/>
                <w:sz w:val="24"/>
                <w:szCs w:val="20"/>
                <w:lang w:eastAsia="zh-CN"/>
              </w:rPr>
            </w:pPr>
            <w:r>
              <w:rPr>
                <w:rFonts w:hint="eastAsia"/>
                <w:b/>
                <w:bCs/>
                <w:sz w:val="24"/>
                <w:szCs w:val="20"/>
                <w:lang w:eastAsia="zh-CN"/>
              </w:rPr>
              <w:t>专栏2：粮食安全重点项目</w:t>
            </w:r>
          </w:p>
        </w:tc>
      </w:tr>
      <w:tr w14:paraId="61DC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4B157529">
            <w:pPr>
              <w:spacing w:line="276" w:lineRule="auto"/>
              <w:ind w:firstLine="0" w:firstLineChars="0"/>
              <w:rPr>
                <w:sz w:val="24"/>
                <w:szCs w:val="20"/>
                <w:lang w:eastAsia="zh-CN"/>
              </w:rPr>
            </w:pPr>
            <w:r>
              <w:rPr>
                <w:rFonts w:hint="eastAsia"/>
                <w:b/>
                <w:bCs/>
                <w:sz w:val="24"/>
                <w:szCs w:val="20"/>
                <w:lang w:eastAsia="zh-CN"/>
              </w:rPr>
              <w:t>1.高标准农田建设项目。</w:t>
            </w:r>
            <w:r>
              <w:rPr>
                <w:rFonts w:hint="eastAsia"/>
                <w:sz w:val="24"/>
                <w:szCs w:val="20"/>
                <w:lang w:eastAsia="zh-CN"/>
              </w:rPr>
              <w:t>阜新县、彰武县及细河区、清河门区、太平区高标准农田建设。</w:t>
            </w:r>
          </w:p>
          <w:p w14:paraId="113C8C79">
            <w:pPr>
              <w:spacing w:line="276" w:lineRule="auto"/>
              <w:ind w:firstLine="0" w:firstLineChars="0"/>
              <w:rPr>
                <w:sz w:val="24"/>
                <w:szCs w:val="20"/>
                <w:lang w:eastAsia="zh-CN"/>
              </w:rPr>
            </w:pPr>
            <w:r>
              <w:rPr>
                <w:rFonts w:hint="eastAsia"/>
                <w:b/>
                <w:bCs/>
                <w:sz w:val="24"/>
                <w:szCs w:val="20"/>
                <w:lang w:eastAsia="zh-CN"/>
              </w:rPr>
              <w:t>2.耕地质量提升项目。</w:t>
            </w:r>
            <w:r>
              <w:rPr>
                <w:rFonts w:hint="eastAsia"/>
                <w:sz w:val="24"/>
                <w:szCs w:val="20"/>
                <w:lang w:eastAsia="zh-CN"/>
              </w:rPr>
              <w:t>科尔沁沙地可持续治沙关键技术攻关与示范推广。</w:t>
            </w:r>
          </w:p>
          <w:p w14:paraId="5AE5CAFB">
            <w:pPr>
              <w:spacing w:line="276" w:lineRule="auto"/>
              <w:ind w:firstLine="0" w:firstLineChars="0"/>
              <w:rPr>
                <w:sz w:val="24"/>
                <w:szCs w:val="20"/>
                <w:lang w:eastAsia="zh-CN"/>
              </w:rPr>
            </w:pPr>
            <w:r>
              <w:rPr>
                <w:rFonts w:hint="eastAsia"/>
                <w:b/>
                <w:bCs/>
                <w:sz w:val="24"/>
                <w:szCs w:val="20"/>
                <w:lang w:eastAsia="zh-CN"/>
              </w:rPr>
              <w:t>3.农田水利工程。</w:t>
            </w:r>
            <w:r>
              <w:rPr>
                <w:rFonts w:hint="eastAsia"/>
                <w:sz w:val="24"/>
                <w:szCs w:val="20"/>
                <w:lang w:eastAsia="zh-CN"/>
              </w:rPr>
              <w:t>永平（韩家杖子）水库、胡家湾水库、佛寺水库中型灌区、八宝海灌区、碱锅灌区等建设工程，重点河流水土流失综合治理。</w:t>
            </w:r>
          </w:p>
          <w:p w14:paraId="3CA8F4E5">
            <w:pPr>
              <w:spacing w:line="276" w:lineRule="auto"/>
              <w:ind w:firstLine="0" w:firstLineChars="0"/>
              <w:rPr>
                <w:sz w:val="24"/>
                <w:szCs w:val="20"/>
                <w:lang w:eastAsia="zh-CN"/>
              </w:rPr>
            </w:pPr>
            <w:r>
              <w:rPr>
                <w:rFonts w:hint="eastAsia"/>
                <w:b/>
                <w:bCs/>
                <w:sz w:val="24"/>
                <w:szCs w:val="20"/>
                <w:lang w:eastAsia="zh-CN"/>
              </w:rPr>
              <w:t>4.</w:t>
            </w:r>
            <w:r>
              <w:rPr>
                <w:b/>
                <w:bCs/>
                <w:sz w:val="24"/>
                <w:lang w:eastAsia="zh-CN"/>
              </w:rPr>
              <w:t>全域土地综合整治工程：</w:t>
            </w:r>
            <w:r>
              <w:rPr>
                <w:sz w:val="24"/>
                <w:lang w:eastAsia="zh-CN"/>
              </w:rPr>
              <w:t>实施彰武县废弃矿山复垦、细河区土地综合整治等项目。</w:t>
            </w:r>
            <w:bookmarkStart w:id="1" w:name="_GoBack"/>
            <w:bookmarkEnd w:id="1"/>
          </w:p>
          <w:p w14:paraId="38C7DCBE">
            <w:pPr>
              <w:spacing w:line="276" w:lineRule="auto"/>
              <w:ind w:firstLine="0" w:firstLineChars="0"/>
              <w:rPr>
                <w:sz w:val="24"/>
                <w:szCs w:val="20"/>
                <w:lang w:eastAsia="zh-CN"/>
              </w:rPr>
            </w:pPr>
            <w:r>
              <w:rPr>
                <w:rFonts w:hint="eastAsia"/>
                <w:b/>
                <w:bCs/>
                <w:sz w:val="24"/>
                <w:szCs w:val="20"/>
                <w:lang w:eastAsia="zh-CN"/>
              </w:rPr>
              <w:t>5.粮食单产提升行动。</w:t>
            </w:r>
            <w:r>
              <w:rPr>
                <w:rFonts w:hint="eastAsia"/>
                <w:sz w:val="24"/>
                <w:szCs w:val="20"/>
                <w:lang w:eastAsia="zh-CN"/>
              </w:rPr>
              <w:t>阜新县、彰武县玉米单产提升工程、高产高效行动。</w:t>
            </w:r>
          </w:p>
          <w:p w14:paraId="666C3FE9">
            <w:pPr>
              <w:spacing w:line="276" w:lineRule="auto"/>
              <w:ind w:firstLine="0" w:firstLineChars="0"/>
              <w:rPr>
                <w:sz w:val="24"/>
                <w:szCs w:val="20"/>
                <w:lang w:eastAsia="zh-CN"/>
              </w:rPr>
            </w:pPr>
            <w:r>
              <w:rPr>
                <w:rFonts w:hint="eastAsia"/>
                <w:b/>
                <w:bCs/>
                <w:sz w:val="24"/>
                <w:szCs w:val="20"/>
                <w:lang w:eastAsia="zh-CN"/>
              </w:rPr>
              <w:t>6.农业防灾减灾工程。</w:t>
            </w:r>
            <w:r>
              <w:rPr>
                <w:rFonts w:hint="eastAsia"/>
                <w:sz w:val="24"/>
                <w:szCs w:val="20"/>
                <w:lang w:eastAsia="zh-CN"/>
              </w:rPr>
              <w:t>辽宁科尔沁沙地千里阻沙带阜新段工程，阜新县和彰武县防汛抗旱预警及应急保障项目。</w:t>
            </w:r>
          </w:p>
        </w:tc>
      </w:tr>
    </w:tbl>
    <w:p w14:paraId="6AF7DBDC">
      <w:pPr>
        <w:pStyle w:val="2"/>
        <w:ind w:firstLine="643"/>
        <w:rPr>
          <w:lang w:eastAsia="zh-CN"/>
        </w:rPr>
      </w:pPr>
      <w:r>
        <w:rPr>
          <w:lang w:eastAsia="zh-CN"/>
        </w:rPr>
        <w:t>三、推动养殖业</w:t>
      </w:r>
      <w:r>
        <w:rPr>
          <w:rFonts w:hint="eastAsia"/>
          <w:lang w:eastAsia="zh-CN"/>
        </w:rPr>
        <w:t>提质</w:t>
      </w:r>
      <w:r>
        <w:rPr>
          <w:lang w:eastAsia="zh-CN"/>
        </w:rPr>
        <w:t>升级，培育特色优势产业</w:t>
      </w:r>
    </w:p>
    <w:p w14:paraId="41BA80C1">
      <w:pPr>
        <w:ind w:firstLine="640"/>
        <w:rPr>
          <w:lang w:eastAsia="zh-CN"/>
        </w:rPr>
      </w:pPr>
      <w:r>
        <w:rPr>
          <w:lang w:eastAsia="zh-CN"/>
        </w:rPr>
        <w:t>坚持农林牧渔并举，统筹设施种植、现代畜牧、生态渔业与特色优势产业协同发展，全方位、多途径挖掘农业生产潜力，立足阜新农牧交错带资源禀赋和产业基础，构建粮经饲统筹、农牧渔结合、绿色安全的多元化食物供给体系。</w:t>
      </w:r>
    </w:p>
    <w:p w14:paraId="2AEA5371">
      <w:pPr>
        <w:pStyle w:val="3"/>
        <w:ind w:firstLine="643"/>
        <w:rPr>
          <w:lang w:eastAsia="zh-CN"/>
        </w:rPr>
      </w:pPr>
      <w:r>
        <w:rPr>
          <w:rFonts w:hint="eastAsia"/>
          <w:lang w:eastAsia="zh-CN"/>
        </w:rPr>
        <w:t>（九）</w:t>
      </w:r>
      <w:r>
        <w:rPr>
          <w:lang w:eastAsia="zh-CN"/>
        </w:rPr>
        <w:t>做强草食畜牧业</w:t>
      </w:r>
    </w:p>
    <w:p w14:paraId="7A8FDC08">
      <w:pPr>
        <w:ind w:firstLine="640"/>
        <w:rPr>
          <w:lang w:eastAsia="zh-CN"/>
        </w:rPr>
      </w:pPr>
      <w:r>
        <w:rPr>
          <w:lang w:eastAsia="zh-CN"/>
        </w:rPr>
        <w:t>依托肉牛、肉羊、奶牛优势乡镇</w:t>
      </w:r>
      <w:r>
        <w:rPr>
          <w:rFonts w:hint="eastAsia"/>
          <w:lang w:eastAsia="zh-CN"/>
        </w:rPr>
        <w:t>及</w:t>
      </w:r>
      <w:r>
        <w:rPr>
          <w:lang w:eastAsia="zh-CN"/>
        </w:rPr>
        <w:t>龙头</w:t>
      </w:r>
      <w:r>
        <w:rPr>
          <w:rFonts w:hint="eastAsia"/>
          <w:lang w:eastAsia="zh-CN"/>
        </w:rPr>
        <w:t>企业</w:t>
      </w:r>
      <w:r>
        <w:rPr>
          <w:lang w:eastAsia="zh-CN"/>
        </w:rPr>
        <w:t>，推进天丰种羊国家核心育种场建设，稳步提升奶牛</w:t>
      </w:r>
      <w:r>
        <w:rPr>
          <w:rFonts w:hint="eastAsia"/>
          <w:lang w:eastAsia="zh-CN"/>
        </w:rPr>
        <w:t>养殖</w:t>
      </w:r>
      <w:r>
        <w:rPr>
          <w:lang w:eastAsia="zh-CN"/>
        </w:rPr>
        <w:t>存栏</w:t>
      </w:r>
      <w:r>
        <w:rPr>
          <w:rFonts w:hint="eastAsia"/>
          <w:lang w:eastAsia="zh-CN"/>
        </w:rPr>
        <w:t>规模</w:t>
      </w:r>
      <w:r>
        <w:rPr>
          <w:lang w:eastAsia="zh-CN"/>
        </w:rPr>
        <w:t>。发展</w:t>
      </w:r>
      <w:r>
        <w:rPr>
          <w:rFonts w:hint="eastAsia"/>
          <w:lang w:eastAsia="zh-CN"/>
        </w:rPr>
        <w:t>适度</w:t>
      </w:r>
      <w:r>
        <w:rPr>
          <w:lang w:eastAsia="zh-CN"/>
        </w:rPr>
        <w:t>规模养殖与种养结合循环模式，</w:t>
      </w:r>
      <w:r>
        <w:rPr>
          <w:rFonts w:hint="eastAsia"/>
          <w:lang w:eastAsia="zh-CN"/>
        </w:rPr>
        <w:t>实施养殖场智能化升级改造</w:t>
      </w:r>
      <w:r>
        <w:rPr>
          <w:lang w:eastAsia="zh-CN"/>
        </w:rPr>
        <w:t>，支持肉牛肉羊屠宰分割、冷链配送一体化，培育兽药、饲料等配套产业，完善畜牧全产业链。强化良种繁育、疫病防控、智慧养殖与政策要素保障，健全养殖产业高质量发展支撑体系</w:t>
      </w:r>
      <w:r>
        <w:rPr>
          <w:rFonts w:hint="eastAsia"/>
          <w:lang w:eastAsia="zh-CN"/>
        </w:rPr>
        <w:t>，聚力</w:t>
      </w:r>
      <w:r>
        <w:rPr>
          <w:lang w:eastAsia="zh-CN"/>
        </w:rPr>
        <w:t>建设畜牧强市</w:t>
      </w:r>
      <w:r>
        <w:rPr>
          <w:rFonts w:hint="eastAsia"/>
          <w:lang w:eastAsia="zh-CN"/>
        </w:rPr>
        <w:t>。</w:t>
      </w:r>
    </w:p>
    <w:p w14:paraId="7BF911C5">
      <w:pPr>
        <w:pStyle w:val="3"/>
        <w:ind w:firstLine="643"/>
        <w:rPr>
          <w:lang w:eastAsia="zh-CN"/>
        </w:rPr>
      </w:pPr>
      <w:r>
        <w:rPr>
          <w:rFonts w:hint="eastAsia"/>
          <w:lang w:eastAsia="zh-CN"/>
        </w:rPr>
        <w:t>（十）</w:t>
      </w:r>
      <w:r>
        <w:rPr>
          <w:lang w:eastAsia="zh-CN"/>
        </w:rPr>
        <w:t>做优猪禽产业</w:t>
      </w:r>
    </w:p>
    <w:p w14:paraId="1D2B9DF1">
      <w:pPr>
        <w:ind w:firstLine="640"/>
        <w:rPr>
          <w:lang w:eastAsia="zh-CN"/>
        </w:rPr>
      </w:pPr>
      <w:r>
        <w:rPr>
          <w:rFonts w:hint="eastAsia"/>
          <w:lang w:eastAsia="zh-CN"/>
        </w:rPr>
        <w:t>依托阜新县、彰武县优势乡镇，</w:t>
      </w:r>
      <w:r>
        <w:rPr>
          <w:lang w:eastAsia="zh-CN"/>
        </w:rPr>
        <w:t>推进标准化规模养殖与智能化改造，建设无疫小区与标准化屠宰加工体系，完善良种繁育与饲草料保障体系，强化动物疫病防控与畜产品质量安全监管，提升本地屠宰加工与应急保供能力，推动猪禽产业向标准化、绿色化、品牌化发展，保障“舌尖上的安全”。以双汇、正大等龙头为带动，生猪年出栏稳定在300万头以上，肉鸡</w:t>
      </w:r>
      <w:r>
        <w:rPr>
          <w:rFonts w:hint="eastAsia"/>
          <w:lang w:eastAsia="zh-CN"/>
        </w:rPr>
        <w:t>年</w:t>
      </w:r>
      <w:r>
        <w:rPr>
          <w:lang w:eastAsia="zh-CN"/>
        </w:rPr>
        <w:t>出栏1亿只</w:t>
      </w:r>
      <w:r>
        <w:rPr>
          <w:rFonts w:hint="eastAsia"/>
          <w:lang w:eastAsia="zh-CN"/>
        </w:rPr>
        <w:t>以上</w:t>
      </w:r>
      <w:r>
        <w:rPr>
          <w:lang w:eastAsia="zh-CN"/>
        </w:rPr>
        <w:t>。</w:t>
      </w:r>
    </w:p>
    <w:p w14:paraId="2D56E544">
      <w:pPr>
        <w:pStyle w:val="3"/>
        <w:ind w:firstLine="643"/>
        <w:rPr>
          <w:lang w:eastAsia="zh-CN"/>
        </w:rPr>
      </w:pPr>
      <w:r>
        <w:rPr>
          <w:rFonts w:hint="eastAsia"/>
          <w:lang w:eastAsia="zh-CN"/>
        </w:rPr>
        <w:t>（十一）</w:t>
      </w:r>
      <w:r>
        <w:rPr>
          <w:lang w:eastAsia="zh-CN"/>
        </w:rPr>
        <w:t>做特肉驴与生态渔业</w:t>
      </w:r>
    </w:p>
    <w:p w14:paraId="79A63CD0">
      <w:pPr>
        <w:ind w:firstLine="640"/>
        <w:rPr>
          <w:lang w:eastAsia="zh-CN"/>
        </w:rPr>
      </w:pPr>
      <w:bookmarkStart w:id="0" w:name="OLE_LINK1"/>
      <w:r>
        <w:rPr>
          <w:lang w:eastAsia="zh-CN"/>
        </w:rPr>
        <w:t>发挥阜新肉驴特色资源优势，聚焦良种繁育、标准化规模养殖、全链条增值开发，做强肉驴特色产业。依托重点养殖乡镇，引导建设标准化肉驴养殖示范小区，推广科学繁育、规范化舍饲养殖模式，完善“龙头企业+合作社+农户”利益联结机制，带动中小养殖户适度发展，延伸驴肉、驴奶、驴皮加工链条，挖掘</w:t>
      </w:r>
      <w:r>
        <w:rPr>
          <w:rFonts w:hint="eastAsia"/>
          <w:lang w:eastAsia="zh-CN"/>
        </w:rPr>
        <w:t>驴</w:t>
      </w:r>
      <w:r>
        <w:rPr>
          <w:lang w:eastAsia="zh-CN"/>
        </w:rPr>
        <w:t>副产品综合利用价值，培育壮大培育特色肉驴品牌。在巨龙湖、八宝海发展大水面生态养殖</w:t>
      </w:r>
      <w:r>
        <w:rPr>
          <w:rFonts w:hint="eastAsia"/>
          <w:lang w:eastAsia="zh-CN"/>
        </w:rPr>
        <w:t>，</w:t>
      </w:r>
      <w:r>
        <w:rPr>
          <w:color w:val="000000" w:themeColor="text1"/>
          <w:lang w:eastAsia="zh-CN"/>
          <w14:textFill>
            <w14:solidFill>
              <w14:schemeClr w14:val="tx1"/>
            </w14:solidFill>
          </w14:textFill>
        </w:rPr>
        <w:t>发挥龙头企业示范带动作用，引导乡镇因地制宜发展适宜本地条件的特色水产养殖。</w:t>
      </w:r>
      <w:r>
        <w:rPr>
          <w:lang w:eastAsia="zh-CN"/>
        </w:rPr>
        <w:t>建设生态养殖与休闲渔业示范基地，推动渔业与文旅康养融合。</w:t>
      </w:r>
    </w:p>
    <w:bookmarkEnd w:id="0"/>
    <w:p w14:paraId="7977F2F7">
      <w:pPr>
        <w:pStyle w:val="3"/>
        <w:ind w:firstLine="643"/>
        <w:rPr>
          <w:lang w:eastAsia="zh-CN"/>
        </w:rPr>
      </w:pPr>
      <w:r>
        <w:rPr>
          <w:rFonts w:hint="eastAsia"/>
          <w:lang w:eastAsia="zh-CN"/>
        </w:rPr>
        <w:t>（十二）</w:t>
      </w:r>
      <w:r>
        <w:rPr>
          <w:lang w:eastAsia="zh-CN"/>
        </w:rPr>
        <w:t>培优壮大花生与甘薯产业</w:t>
      </w:r>
    </w:p>
    <w:p w14:paraId="09B0F43B">
      <w:pPr>
        <w:ind w:firstLine="640"/>
        <w:rPr>
          <w:lang w:eastAsia="zh-CN"/>
        </w:rPr>
      </w:pPr>
      <w:r>
        <w:rPr>
          <w:lang w:eastAsia="zh-CN"/>
        </w:rPr>
        <w:t>锚定建设全国优势特色农产品产业高地目标统筹推进</w:t>
      </w:r>
      <w:r>
        <w:rPr>
          <w:rFonts w:hint="eastAsia"/>
          <w:lang w:eastAsia="zh-CN"/>
        </w:rPr>
        <w:t>花生与甘薯</w:t>
      </w:r>
      <w:r>
        <w:rPr>
          <w:lang w:eastAsia="zh-CN"/>
        </w:rPr>
        <w:t>产业提质升级。花生产业稳定百万亩种植规模，深耕高油酸品种培育推广，</w:t>
      </w:r>
      <w:r>
        <w:rPr>
          <w:rFonts w:hint="eastAsia"/>
          <w:lang w:eastAsia="zh-CN"/>
        </w:rPr>
        <w:t>积极</w:t>
      </w:r>
      <w:r>
        <w:rPr>
          <w:lang w:eastAsia="zh-CN"/>
        </w:rPr>
        <w:t>推广“花生+冬黑麦”轮作与高油酸花生良种，建设区域性花生良种繁育基地，搭建全流程标准化生产体系，组建专项技术团队、数字化服务平台打造十万亩高产示范片区，做强区域公用品牌，扩容花生期货交割业务，把小花生做成大产业。甘薯产业优化市域种植布局，露天标准化基地与近郊设施产区错位发展，建设良种繁育基地适配沙质土壤，完善县乡村三级农技服务体系，推行订单育苗模式。</w:t>
      </w:r>
      <w:r>
        <w:rPr>
          <w:rFonts w:hint="eastAsia"/>
          <w:lang w:eastAsia="zh-CN"/>
        </w:rPr>
        <w:t>完善国家</w:t>
      </w:r>
      <w:r>
        <w:rPr>
          <w:lang w:eastAsia="zh-CN"/>
        </w:rPr>
        <w:t>地理标志产品标准</w:t>
      </w:r>
      <w:r>
        <w:rPr>
          <w:rFonts w:hint="eastAsia"/>
          <w:lang w:eastAsia="zh-CN"/>
        </w:rPr>
        <w:t>体系</w:t>
      </w:r>
      <w:r>
        <w:rPr>
          <w:lang w:eastAsia="zh-CN"/>
        </w:rPr>
        <w:t>、溯源管控体系，开发文旅伴手礼，线上线下联动开拓京津冀、沈阳都市圈市场，</w:t>
      </w:r>
      <w:r>
        <w:rPr>
          <w:rFonts w:hint="eastAsia"/>
          <w:lang w:eastAsia="zh-CN"/>
        </w:rPr>
        <w:t>搭建长期稳定的产销渠道</w:t>
      </w:r>
      <w:r>
        <w:rPr>
          <w:lang w:eastAsia="zh-CN"/>
        </w:rPr>
        <w:t>，持续带动广大农户稳定增收。</w:t>
      </w:r>
    </w:p>
    <w:p w14:paraId="649630B5">
      <w:pPr>
        <w:pStyle w:val="3"/>
        <w:ind w:firstLine="643"/>
        <w:rPr>
          <w:lang w:eastAsia="zh-CN"/>
        </w:rPr>
      </w:pPr>
      <w:r>
        <w:rPr>
          <w:rFonts w:hint="eastAsia"/>
          <w:lang w:eastAsia="zh-CN"/>
        </w:rPr>
        <w:t>（十三）</w:t>
      </w:r>
      <w:r>
        <w:rPr>
          <w:lang w:eastAsia="zh-CN"/>
        </w:rPr>
        <w:t>建设特色设施果蔬产业带</w:t>
      </w:r>
    </w:p>
    <w:p w14:paraId="70D76F36">
      <w:pPr>
        <w:ind w:firstLine="640"/>
        <w:rPr>
          <w:lang w:eastAsia="zh-CN"/>
        </w:rPr>
      </w:pPr>
      <w:r>
        <w:rPr>
          <w:lang w:eastAsia="zh-CN"/>
        </w:rPr>
        <w:t>按照“集中集聚、提质增效”原则，高标准打造宜机、智能、绿色特色设施果蔬产业带，重点在阜</w:t>
      </w:r>
      <w:r>
        <w:rPr>
          <w:rFonts w:hint="eastAsia"/>
          <w:lang w:eastAsia="zh-CN"/>
        </w:rPr>
        <w:t>新</w:t>
      </w:r>
      <w:r>
        <w:rPr>
          <w:lang w:eastAsia="zh-CN"/>
        </w:rPr>
        <w:t>县福兴地镇、旧庙镇和彰武县两家子镇、章古台镇布局高标准温室大棚集群，推进老旧日光温室宜机化、智能化改造。依托李天来院士团队推广宜机化栽培与智能温控、水肥一体化装备，培育“福兴地番茄”“旧庙草莓”等品牌，同步发展食用菌、中药材等设施作物，建设现代化育苗中心与冷链预冷设施，推广绿色防控，发展订单农业与农超对接，打造沙地特色设施果蔬产业带</w:t>
      </w:r>
      <w:r>
        <w:rPr>
          <w:rFonts w:hint="eastAsia"/>
          <w:lang w:eastAsia="zh-CN"/>
        </w:rPr>
        <w:t>。</w:t>
      </w:r>
      <w:r>
        <w:rPr>
          <w:lang w:eastAsia="zh-CN"/>
        </w:rPr>
        <w:t>每年新增设施农业5000亩，到2030年</w:t>
      </w:r>
      <w:r>
        <w:rPr>
          <w:rFonts w:hint="eastAsia"/>
          <w:lang w:eastAsia="zh-CN"/>
        </w:rPr>
        <w:t>全市设施农业总面积</w:t>
      </w:r>
      <w:r>
        <w:rPr>
          <w:lang w:eastAsia="zh-CN"/>
        </w:rPr>
        <w:t>突破6.5万亩</w:t>
      </w:r>
      <w:r>
        <w:rPr>
          <w:rFonts w:hint="eastAsia"/>
          <w:lang w:eastAsia="zh-CN"/>
        </w:rPr>
        <w:t>，</w:t>
      </w:r>
      <w:r>
        <w:rPr>
          <w:lang w:eastAsia="zh-CN"/>
        </w:rPr>
        <w:t>设施果蔬年产值突破30亿元，成为农民增收的重要支柱。</w:t>
      </w:r>
    </w:p>
    <w:p w14:paraId="13D25432">
      <w:pPr>
        <w:pStyle w:val="3"/>
        <w:ind w:firstLine="643"/>
        <w:rPr>
          <w:lang w:eastAsia="zh-CN"/>
        </w:rPr>
      </w:pPr>
      <w:r>
        <w:rPr>
          <w:rFonts w:hint="eastAsia"/>
          <w:lang w:eastAsia="zh-CN"/>
        </w:rPr>
        <w:t>（十四）</w:t>
      </w:r>
      <w:r>
        <w:rPr>
          <w:lang w:eastAsia="zh-CN"/>
        </w:rPr>
        <w:t>发展区域优势林下经济产业</w:t>
      </w:r>
    </w:p>
    <w:p w14:paraId="06F4B319">
      <w:pPr>
        <w:ind w:firstLine="640"/>
        <w:rPr>
          <w:lang w:eastAsia="zh-CN"/>
        </w:rPr>
      </w:pPr>
      <w:r>
        <w:rPr>
          <w:lang w:eastAsia="zh-CN"/>
        </w:rPr>
        <w:t>依托</w:t>
      </w:r>
      <w:r>
        <w:rPr>
          <w:rFonts w:hint="eastAsia"/>
          <w:lang w:eastAsia="zh-CN"/>
        </w:rPr>
        <w:t>科尔沁沙地生态治理成果</w:t>
      </w:r>
      <w:r>
        <w:rPr>
          <w:lang w:eastAsia="zh-CN"/>
        </w:rPr>
        <w:t>，发展林下中草药、特色经济林与林下养殖，推广“林药套种”“林禽混养”“林菌培育”模式，打造“彰武道地药材”“阜新酸枣”等道地品牌，</w:t>
      </w:r>
      <w:r>
        <w:rPr>
          <w:rFonts w:hint="eastAsia"/>
          <w:lang w:eastAsia="zh-CN"/>
        </w:rPr>
        <w:t>“十五五”期间</w:t>
      </w:r>
      <w:r>
        <w:rPr>
          <w:lang w:eastAsia="zh-CN"/>
        </w:rPr>
        <w:t>新发展特色经济林5万亩，建设国家级林下中草药示范基地，形成特色种植集群与优势产业带，拓宽农民增收渠道。</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A13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74876AA5">
            <w:pPr>
              <w:spacing w:line="276" w:lineRule="auto"/>
              <w:ind w:firstLine="0" w:firstLineChars="0"/>
              <w:jc w:val="center"/>
              <w:rPr>
                <w:b/>
                <w:bCs/>
                <w:sz w:val="24"/>
                <w:szCs w:val="20"/>
                <w:lang w:eastAsia="zh-CN"/>
              </w:rPr>
            </w:pPr>
            <w:r>
              <w:rPr>
                <w:rFonts w:hint="eastAsia"/>
                <w:b/>
                <w:bCs/>
                <w:sz w:val="24"/>
                <w:szCs w:val="20"/>
                <w:lang w:eastAsia="zh-CN"/>
              </w:rPr>
              <w:t>专栏3：现代特色种养业重点项目</w:t>
            </w:r>
          </w:p>
        </w:tc>
      </w:tr>
      <w:tr w14:paraId="149C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CE640FD">
            <w:pPr>
              <w:spacing w:line="276" w:lineRule="auto"/>
              <w:ind w:firstLine="0" w:firstLineChars="0"/>
              <w:rPr>
                <w:sz w:val="24"/>
                <w:szCs w:val="20"/>
                <w:lang w:eastAsia="zh-CN"/>
              </w:rPr>
            </w:pPr>
            <w:r>
              <w:rPr>
                <w:rFonts w:hint="eastAsia"/>
                <w:b/>
                <w:bCs/>
                <w:sz w:val="24"/>
                <w:szCs w:val="20"/>
                <w:lang w:eastAsia="zh-CN"/>
              </w:rPr>
              <w:t>1.设施农业更新改造工程。</w:t>
            </w:r>
            <w:r>
              <w:rPr>
                <w:rFonts w:hint="eastAsia"/>
                <w:sz w:val="24"/>
                <w:szCs w:val="20"/>
                <w:lang w:eastAsia="zh-CN"/>
              </w:rPr>
              <w:t>福兴地镇万亩设施农业园区提质升级，智能温控及水肥一体化配套，现代化育苗中心建设。</w:t>
            </w:r>
          </w:p>
          <w:p w14:paraId="4857DAEA">
            <w:pPr>
              <w:spacing w:line="276" w:lineRule="auto"/>
              <w:ind w:firstLine="0" w:firstLineChars="0"/>
              <w:rPr>
                <w:sz w:val="24"/>
                <w:szCs w:val="20"/>
                <w:lang w:eastAsia="zh-CN"/>
              </w:rPr>
            </w:pPr>
            <w:r>
              <w:rPr>
                <w:rFonts w:hint="eastAsia"/>
                <w:b/>
                <w:bCs/>
                <w:sz w:val="24"/>
                <w:szCs w:val="20"/>
                <w:lang w:eastAsia="zh-CN"/>
              </w:rPr>
              <w:t>2.畜牧业提质升级工程。</w:t>
            </w:r>
            <w:r>
              <w:rPr>
                <w:rFonts w:hint="eastAsia"/>
                <w:sz w:val="24"/>
                <w:szCs w:val="20"/>
                <w:lang w:eastAsia="zh-CN"/>
              </w:rPr>
              <w:t>天丰种羊国家核心育种场、优然牧业智慧牧场改造提升，新建肉牛肉羊屠宰深加工项目。</w:t>
            </w:r>
          </w:p>
          <w:p w14:paraId="6D7614E7">
            <w:pPr>
              <w:spacing w:line="276" w:lineRule="auto"/>
              <w:ind w:firstLine="0" w:firstLineChars="0"/>
              <w:rPr>
                <w:sz w:val="24"/>
                <w:szCs w:val="20"/>
                <w:lang w:eastAsia="zh-CN"/>
              </w:rPr>
            </w:pPr>
            <w:r>
              <w:rPr>
                <w:rFonts w:hint="eastAsia"/>
                <w:b/>
                <w:bCs/>
                <w:sz w:val="24"/>
                <w:szCs w:val="20"/>
                <w:lang w:eastAsia="zh-CN"/>
              </w:rPr>
              <w:t>3.特色产业提质工程。</w:t>
            </w:r>
            <w:r>
              <w:rPr>
                <w:rFonts w:hint="eastAsia"/>
                <w:sz w:val="24"/>
                <w:szCs w:val="20"/>
                <w:lang w:eastAsia="zh-CN"/>
              </w:rPr>
              <w:t>老河土镇花生产业项目、彰武甘薯标准化种植基地、林下经济示范基地。</w:t>
            </w:r>
          </w:p>
          <w:p w14:paraId="660CD036">
            <w:pPr>
              <w:spacing w:line="276" w:lineRule="auto"/>
              <w:ind w:firstLine="0" w:firstLineChars="0"/>
              <w:rPr>
                <w:sz w:val="24"/>
                <w:szCs w:val="20"/>
                <w:lang w:eastAsia="zh-CN"/>
              </w:rPr>
            </w:pPr>
            <w:r>
              <w:rPr>
                <w:rFonts w:hint="eastAsia"/>
                <w:b/>
                <w:bCs/>
                <w:sz w:val="24"/>
                <w:szCs w:val="20"/>
                <w:lang w:eastAsia="zh-CN"/>
              </w:rPr>
              <w:t>4.动物保护能力提升工程。</w:t>
            </w:r>
            <w:r>
              <w:rPr>
                <w:rFonts w:hint="eastAsia"/>
                <w:sz w:val="24"/>
                <w:szCs w:val="20"/>
                <w:lang w:eastAsia="zh-CN"/>
              </w:rPr>
              <w:t>完善市县乡三级防疫网络，建设病死畜禽无害化处理中心。</w:t>
            </w:r>
          </w:p>
        </w:tc>
      </w:tr>
    </w:tbl>
    <w:p w14:paraId="55471E58">
      <w:pPr>
        <w:pStyle w:val="2"/>
        <w:ind w:firstLine="643"/>
        <w:rPr>
          <w:lang w:eastAsia="zh-CN"/>
        </w:rPr>
      </w:pPr>
      <w:r>
        <w:rPr>
          <w:lang w:eastAsia="zh-CN"/>
        </w:rPr>
        <w:t>四、强化科技创新驱动，培育农业新质生产力</w:t>
      </w:r>
    </w:p>
    <w:p w14:paraId="2463FDBF">
      <w:pPr>
        <w:ind w:firstLine="640"/>
        <w:rPr>
          <w:lang w:eastAsia="zh-CN"/>
        </w:rPr>
      </w:pPr>
      <w:r>
        <w:rPr>
          <w:lang w:eastAsia="zh-CN"/>
        </w:rPr>
        <w:t>立足国家及区域战略需要和农业产业发展需求，以科技创新为引领，统筹推进种业振兴、智能农机、智慧农业与生物产业发展，推动农业由要素驱动向创新驱动转变，全面强化科技装备支撑，培育发展农业新质生产力。</w:t>
      </w:r>
    </w:p>
    <w:p w14:paraId="2B0A51D1">
      <w:pPr>
        <w:pStyle w:val="3"/>
        <w:ind w:firstLine="643"/>
        <w:rPr>
          <w:lang w:eastAsia="zh-CN"/>
        </w:rPr>
      </w:pPr>
      <w:r>
        <w:rPr>
          <w:rFonts w:hint="eastAsia"/>
          <w:lang w:eastAsia="zh-CN"/>
        </w:rPr>
        <w:t>（十五）</w:t>
      </w:r>
      <w:r>
        <w:rPr>
          <w:lang w:eastAsia="zh-CN"/>
        </w:rPr>
        <w:t>构建产学研用协同创新体系</w:t>
      </w:r>
    </w:p>
    <w:p w14:paraId="45F19911">
      <w:pPr>
        <w:ind w:firstLine="640"/>
        <w:rPr>
          <w:lang w:eastAsia="zh-CN"/>
        </w:rPr>
      </w:pPr>
      <w:r>
        <w:rPr>
          <w:lang w:eastAsia="zh-CN"/>
        </w:rPr>
        <w:t>巩固与省农科院、沈阳农大</w:t>
      </w:r>
      <w:r>
        <w:rPr>
          <w:rFonts w:hint="eastAsia"/>
          <w:lang w:eastAsia="zh-CN"/>
        </w:rPr>
        <w:t>等院校</w:t>
      </w:r>
      <w:r>
        <w:rPr>
          <w:lang w:eastAsia="zh-CN"/>
        </w:rPr>
        <w:t>合作，深化市院共建和校地协作。完善科技服务团与包县联乡机制，支持龙头企业牵头组建产学研联合体，围绕</w:t>
      </w:r>
      <w:r>
        <w:rPr>
          <w:rFonts w:hint="eastAsia"/>
          <w:lang w:eastAsia="zh-CN"/>
        </w:rPr>
        <w:t>绿色</w:t>
      </w:r>
      <w:r>
        <w:rPr>
          <w:lang w:eastAsia="zh-CN"/>
        </w:rPr>
        <w:t>农业、旱作节水等特色方向开展协同攻关，推动新品种、新技术、新装备集成转化。布局农业科技示范基地，建立科技成果转化收益分享机制，畅通科技进村入户“最后一公里”，让科技成果在田间地头落地生根。</w:t>
      </w:r>
    </w:p>
    <w:p w14:paraId="6089E85B">
      <w:pPr>
        <w:pStyle w:val="3"/>
        <w:ind w:firstLine="643"/>
        <w:rPr>
          <w:lang w:eastAsia="zh-CN"/>
        </w:rPr>
      </w:pPr>
      <w:r>
        <w:rPr>
          <w:rFonts w:hint="eastAsia"/>
          <w:lang w:eastAsia="zh-CN"/>
        </w:rPr>
        <w:t>（十六）</w:t>
      </w:r>
      <w:r>
        <w:rPr>
          <w:lang w:eastAsia="zh-CN"/>
        </w:rPr>
        <w:t>实施现代种业强基工程</w:t>
      </w:r>
    </w:p>
    <w:p w14:paraId="25A3DA54">
      <w:pPr>
        <w:ind w:firstLine="640"/>
        <w:rPr>
          <w:lang w:eastAsia="zh-CN"/>
        </w:rPr>
      </w:pPr>
      <w:r>
        <w:rPr>
          <w:lang w:eastAsia="zh-CN"/>
        </w:rPr>
        <w:t>以种源安全、品种提质为核心实施现代种业强基工程，构建种质保护、培育繁育、推广监管一体化种业体系。系统普查收集花生、甘薯、辽西驴等本土特色种质，升级种质资源库，联合科研院所鉴定挖掘耐沙耐旱优良基因，推动种质共享创新。围绕玉米、花生、肉牛等主导产业开展品种攻关，升级国家级肉羊育种场，建设作物原种基地，打造育繁推链条，力争2030年农作物良种全覆盖、畜禽良种率超98%。搭建多元良种推广网络，分区适配推广特色品种，强化种子市场执法监管，从严整治假劣农资，筑牢农业生产源头保障。</w:t>
      </w:r>
    </w:p>
    <w:p w14:paraId="19FB983E">
      <w:pPr>
        <w:pStyle w:val="3"/>
        <w:ind w:firstLine="643"/>
        <w:rPr>
          <w:lang w:eastAsia="zh-CN"/>
        </w:rPr>
      </w:pPr>
      <w:r>
        <w:rPr>
          <w:rFonts w:hint="eastAsia"/>
          <w:lang w:eastAsia="zh-CN"/>
        </w:rPr>
        <w:t>（十七）</w:t>
      </w:r>
      <w:r>
        <w:rPr>
          <w:lang w:eastAsia="zh-CN"/>
        </w:rPr>
        <w:t>推进农机农艺融合</w:t>
      </w:r>
    </w:p>
    <w:p w14:paraId="640C4030">
      <w:pPr>
        <w:ind w:firstLine="640"/>
        <w:rPr>
          <w:lang w:eastAsia="zh-CN"/>
        </w:rPr>
      </w:pPr>
      <w:r>
        <w:rPr>
          <w:lang w:eastAsia="zh-CN"/>
        </w:rPr>
        <w:t>以提效降碳、绿色生产为导向，全面推进农机农艺深度融合，构建适应阜新农业生产特点的农机农艺融合体系。加快智能播种、收获及设施专用农机普及，扶持本土农机产业，优化补贴机制，力争主要农作物机械化率9</w:t>
      </w:r>
      <w:r>
        <w:rPr>
          <w:rFonts w:hint="eastAsia"/>
          <w:lang w:eastAsia="zh-CN"/>
        </w:rPr>
        <w:t>4.5</w:t>
      </w:r>
      <w:r>
        <w:rPr>
          <w:lang w:eastAsia="zh-CN"/>
        </w:rPr>
        <w:t>%。立足</w:t>
      </w:r>
      <w:r>
        <w:rPr>
          <w:rFonts w:hint="eastAsia"/>
          <w:lang w:eastAsia="zh-CN"/>
        </w:rPr>
        <w:t>生产</w:t>
      </w:r>
      <w:r>
        <w:rPr>
          <w:lang w:eastAsia="zh-CN"/>
        </w:rPr>
        <w:t>实际，集成玉米、花生适配农机农艺标准化模式，同步配套保护性耕作、水肥一体化技术。大力培育农机合作社，建设区域性农机服务中心，推行全程托管服务，到2030</w:t>
      </w:r>
      <w:r>
        <w:rPr>
          <w:rFonts w:hint="eastAsia"/>
          <w:lang w:eastAsia="zh-CN"/>
        </w:rPr>
        <w:t>年</w:t>
      </w:r>
      <w:r>
        <w:rPr>
          <w:lang w:eastAsia="zh-CN"/>
        </w:rPr>
        <w:t>农机社会化服务覆盖400万亩、服务小农户占比超</w:t>
      </w:r>
      <w:r>
        <w:rPr>
          <w:rFonts w:hint="eastAsia"/>
          <w:lang w:eastAsia="zh-CN"/>
        </w:rPr>
        <w:t>80%</w:t>
      </w:r>
      <w:r>
        <w:rPr>
          <w:lang w:eastAsia="zh-CN"/>
        </w:rPr>
        <w:t>。</w:t>
      </w:r>
    </w:p>
    <w:p w14:paraId="45075E15">
      <w:pPr>
        <w:pStyle w:val="3"/>
        <w:ind w:firstLine="643"/>
        <w:rPr>
          <w:lang w:eastAsia="zh-CN"/>
        </w:rPr>
      </w:pPr>
      <w:r>
        <w:rPr>
          <w:rFonts w:hint="eastAsia"/>
          <w:lang w:eastAsia="zh-CN"/>
        </w:rPr>
        <w:t>（十八）</w:t>
      </w:r>
      <w:r>
        <w:rPr>
          <w:lang w:eastAsia="zh-CN"/>
        </w:rPr>
        <w:t>推进农业生产数字化转型</w:t>
      </w:r>
    </w:p>
    <w:p w14:paraId="46B13401">
      <w:pPr>
        <w:ind w:firstLine="640"/>
        <w:rPr>
          <w:lang w:eastAsia="zh-CN"/>
        </w:rPr>
      </w:pPr>
      <w:r>
        <w:rPr>
          <w:lang w:eastAsia="zh-CN"/>
        </w:rPr>
        <w:t>以数字智能为发展方向，推动数字技术全域融入农业生产全链条，构建全域覆盖、高效便捷的智慧农业发展体系。在粮油、花生、设施果蔬、畜牧重点片区</w:t>
      </w:r>
      <w:r>
        <w:rPr>
          <w:rFonts w:hint="eastAsia"/>
          <w:lang w:eastAsia="zh-CN"/>
        </w:rPr>
        <w:t>，打造</w:t>
      </w:r>
      <w:r>
        <w:rPr>
          <w:lang w:eastAsia="zh-CN"/>
        </w:rPr>
        <w:t>智慧农业</w:t>
      </w:r>
      <w:r>
        <w:rPr>
          <w:rFonts w:hint="eastAsia"/>
          <w:lang w:eastAsia="zh-CN"/>
        </w:rPr>
        <w:t>应用</w:t>
      </w:r>
      <w:r>
        <w:rPr>
          <w:lang w:eastAsia="zh-CN"/>
        </w:rPr>
        <w:t>基地，</w:t>
      </w:r>
      <w:r>
        <w:rPr>
          <w:rFonts w:hint="eastAsia"/>
          <w:lang w:eastAsia="zh-CN"/>
        </w:rPr>
        <w:t>推广智能技术应用</w:t>
      </w:r>
      <w:r>
        <w:rPr>
          <w:lang w:eastAsia="zh-CN"/>
        </w:rPr>
        <w:t>。同步升级“数商兴农”公共服务平台，搭建农业农村大数据中心，整合种养加工流通全维度数据资源，落地“十百千亿”数字赋能工程，统筹政策、技术、品牌、产销服务一体化赋能，以数字化精准赋能全市特色农业提质增效。</w:t>
      </w:r>
    </w:p>
    <w:p w14:paraId="1724E52E">
      <w:pPr>
        <w:pStyle w:val="3"/>
        <w:ind w:firstLine="643"/>
        <w:rPr>
          <w:lang w:eastAsia="zh-CN"/>
        </w:rPr>
      </w:pPr>
      <w:r>
        <w:rPr>
          <w:rFonts w:hint="eastAsia"/>
          <w:lang w:eastAsia="zh-CN"/>
        </w:rPr>
        <w:t>（十九）</w:t>
      </w:r>
      <w:r>
        <w:rPr>
          <w:lang w:eastAsia="zh-CN"/>
        </w:rPr>
        <w:t>探索农业生物技术安全应用</w:t>
      </w:r>
    </w:p>
    <w:p w14:paraId="7D78CEE1">
      <w:pPr>
        <w:ind w:firstLine="640"/>
        <w:rPr>
          <w:lang w:eastAsia="zh-CN"/>
        </w:rPr>
      </w:pPr>
      <w:r>
        <w:rPr>
          <w:lang w:eastAsia="zh-CN"/>
        </w:rPr>
        <w:t>规范有序开展生物育种示范推广，因地制宜引进抗逆转基因品种，构建种业全链条监管机制并做好科普引导。大力推广粪污发酵、秸秆生物转化等循环生物技术，落地蚯蚓粪污、秸秆食用菌等示范项目，打通种养废弃物循环利用路径。扶持生物农药、生物有机肥、</w:t>
      </w:r>
      <w:r>
        <w:rPr>
          <w:rFonts w:hint="eastAsia"/>
          <w:lang w:eastAsia="zh-CN"/>
        </w:rPr>
        <w:t>土壤</w:t>
      </w:r>
      <w:r>
        <w:rPr>
          <w:lang w:eastAsia="zh-CN"/>
        </w:rPr>
        <w:t>改良制剂等绿色制品研发生产，依托本地中药材资源开发药食同源深加工产品，同步建立生物制品全流程安全评估监管体系，以生物技术赋能绿色种养、产业延链，支撑农业高质量可持续发展。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DEA6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EA57E48">
            <w:pPr>
              <w:pStyle w:val="14"/>
              <w:ind w:firstLine="542"/>
              <w:rPr>
                <w:rFonts w:hint="eastAsia"/>
                <w:lang w:eastAsia="zh-CN"/>
              </w:rPr>
            </w:pPr>
            <w:r>
              <w:rPr>
                <w:lang w:eastAsia="zh-CN"/>
              </w:rPr>
              <w:t>专栏4：农业新质生产力培育发展重点项目</w:t>
            </w:r>
          </w:p>
        </w:tc>
      </w:tr>
      <w:tr w14:paraId="342F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3F438B1">
            <w:pPr>
              <w:spacing w:line="276" w:lineRule="auto"/>
              <w:ind w:firstLine="0" w:firstLineChars="0"/>
              <w:rPr>
                <w:sz w:val="24"/>
                <w:szCs w:val="20"/>
                <w:lang w:eastAsia="zh-CN"/>
              </w:rPr>
            </w:pPr>
            <w:r>
              <w:rPr>
                <w:rFonts w:hint="eastAsia"/>
                <w:b/>
                <w:bCs/>
                <w:sz w:val="24"/>
                <w:szCs w:val="20"/>
                <w:lang w:eastAsia="zh-CN"/>
              </w:rPr>
              <w:t>1.科技创新能力建设工程。</w:t>
            </w:r>
            <w:r>
              <w:rPr>
                <w:sz w:val="24"/>
                <w:szCs w:val="20"/>
                <w:lang w:eastAsia="zh-CN"/>
              </w:rPr>
              <w:t>深化市院共建、校地合作，聚焦玉米、花生、大豆等产业，强化科技创新和技术推广</w:t>
            </w:r>
            <w:r>
              <w:rPr>
                <w:rFonts w:hint="eastAsia"/>
                <w:sz w:val="24"/>
                <w:szCs w:val="20"/>
                <w:lang w:eastAsia="zh-CN"/>
              </w:rPr>
              <w:t>。</w:t>
            </w:r>
          </w:p>
          <w:p w14:paraId="3B2FA2B6">
            <w:pPr>
              <w:spacing w:line="276" w:lineRule="auto"/>
              <w:ind w:firstLine="0" w:firstLineChars="0"/>
              <w:rPr>
                <w:sz w:val="24"/>
                <w:szCs w:val="20"/>
                <w:lang w:eastAsia="zh-CN"/>
              </w:rPr>
            </w:pPr>
            <w:r>
              <w:rPr>
                <w:rFonts w:hint="eastAsia"/>
                <w:b/>
                <w:bCs/>
                <w:sz w:val="24"/>
                <w:szCs w:val="20"/>
                <w:lang w:eastAsia="zh-CN"/>
              </w:rPr>
              <w:t>2.现代种业工程。</w:t>
            </w:r>
            <w:r>
              <w:rPr>
                <w:rFonts w:hint="eastAsia"/>
                <w:sz w:val="24"/>
                <w:szCs w:val="20"/>
                <w:lang w:eastAsia="zh-CN"/>
              </w:rPr>
              <w:t>天丰种羊国家核心育种场升级，花生甘薯原种繁育基地，山皂角海棠种质资源库提质。</w:t>
            </w:r>
          </w:p>
          <w:p w14:paraId="2D81F3BD">
            <w:pPr>
              <w:spacing w:line="276" w:lineRule="auto"/>
              <w:ind w:firstLine="0" w:firstLineChars="0"/>
              <w:rPr>
                <w:sz w:val="24"/>
                <w:szCs w:val="20"/>
                <w:lang w:eastAsia="zh-CN"/>
              </w:rPr>
            </w:pPr>
            <w:r>
              <w:rPr>
                <w:rFonts w:hint="eastAsia"/>
                <w:b/>
                <w:bCs/>
                <w:sz w:val="24"/>
                <w:szCs w:val="20"/>
                <w:lang w:eastAsia="zh-CN"/>
              </w:rPr>
              <w:t>3.农机装备建设工程。</w:t>
            </w:r>
            <w:r>
              <w:rPr>
                <w:rFonts w:hint="eastAsia"/>
                <w:sz w:val="24"/>
                <w:szCs w:val="20"/>
                <w:lang w:eastAsia="zh-CN"/>
              </w:rPr>
              <w:t>区域农机服务中心。</w:t>
            </w:r>
          </w:p>
          <w:p w14:paraId="6D706868">
            <w:pPr>
              <w:spacing w:line="276" w:lineRule="auto"/>
              <w:ind w:firstLine="0" w:firstLineChars="0"/>
              <w:rPr>
                <w:sz w:val="24"/>
                <w:szCs w:val="20"/>
                <w:lang w:eastAsia="zh-CN"/>
              </w:rPr>
            </w:pPr>
            <w:r>
              <w:rPr>
                <w:rFonts w:hint="eastAsia"/>
                <w:b/>
                <w:bCs/>
                <w:sz w:val="24"/>
                <w:szCs w:val="20"/>
                <w:lang w:eastAsia="zh-CN"/>
              </w:rPr>
              <w:t>4.数字农业工程。</w:t>
            </w:r>
            <w:r>
              <w:rPr>
                <w:rFonts w:hint="eastAsia"/>
                <w:sz w:val="24"/>
                <w:szCs w:val="20"/>
                <w:lang w:eastAsia="zh-CN"/>
              </w:rPr>
              <w:t>农业农村大数据中心，智慧农业示范基地与智能牧场。</w:t>
            </w:r>
          </w:p>
          <w:p w14:paraId="0C625A51">
            <w:pPr>
              <w:spacing w:line="276" w:lineRule="auto"/>
              <w:ind w:firstLine="0" w:firstLineChars="0"/>
              <w:rPr>
                <w:sz w:val="24"/>
                <w:szCs w:val="20"/>
                <w:lang w:eastAsia="zh-CN"/>
              </w:rPr>
            </w:pPr>
            <w:r>
              <w:rPr>
                <w:rFonts w:hint="eastAsia"/>
                <w:b/>
                <w:bCs/>
                <w:sz w:val="24"/>
                <w:szCs w:val="20"/>
                <w:lang w:eastAsia="zh-CN"/>
              </w:rPr>
              <w:t>5.生物农业创新工程。</w:t>
            </w:r>
            <w:r>
              <w:rPr>
                <w:rFonts w:hint="eastAsia"/>
                <w:sz w:val="24"/>
                <w:szCs w:val="20"/>
                <w:lang w:eastAsia="zh-CN"/>
              </w:rPr>
              <w:t>药食同源产品中试，生物饲料与生物农药研发。</w:t>
            </w:r>
          </w:p>
        </w:tc>
      </w:tr>
    </w:tbl>
    <w:p w14:paraId="1E02DED6">
      <w:pPr>
        <w:pStyle w:val="2"/>
        <w:ind w:firstLine="643"/>
        <w:rPr>
          <w:lang w:eastAsia="zh-CN"/>
        </w:rPr>
      </w:pPr>
      <w:r>
        <w:rPr>
          <w:lang w:eastAsia="zh-CN"/>
        </w:rPr>
        <w:t>五、延链补链强链，构建现代农业产业体系</w:t>
      </w:r>
    </w:p>
    <w:p w14:paraId="6F2B6B5D">
      <w:pPr>
        <w:ind w:firstLine="640"/>
        <w:rPr>
          <w:lang w:eastAsia="zh-CN"/>
        </w:rPr>
      </w:pPr>
      <w:r>
        <w:rPr>
          <w:lang w:eastAsia="zh-CN"/>
        </w:rPr>
        <w:t>聚焦农产品加工升级、流通体系完善、品牌培育壮大、农文旅深度融合、区域协同开放五大方向，推动农业产业从“原料供给型”向“全链增值型”转型，构建“主业突出、链条完整、品牌引领、绿色高效、多元融合”的现代农业产业体系</w:t>
      </w:r>
      <w:r>
        <w:rPr>
          <w:rFonts w:hint="eastAsia"/>
          <w:lang w:eastAsia="zh-CN"/>
        </w:rPr>
        <w:t>。</w:t>
      </w:r>
    </w:p>
    <w:p w14:paraId="6FC2D4C1">
      <w:pPr>
        <w:pStyle w:val="3"/>
        <w:ind w:firstLine="643"/>
        <w:rPr>
          <w:lang w:eastAsia="zh-CN"/>
        </w:rPr>
      </w:pPr>
      <w:r>
        <w:rPr>
          <w:rFonts w:hint="eastAsia"/>
          <w:lang w:eastAsia="zh-CN"/>
        </w:rPr>
        <w:t>（二十）</w:t>
      </w:r>
      <w:r>
        <w:rPr>
          <w:lang w:eastAsia="zh-CN"/>
        </w:rPr>
        <w:t>提升现代化农产品加工业</w:t>
      </w:r>
    </w:p>
    <w:p w14:paraId="2068E7A0">
      <w:pPr>
        <w:ind w:firstLine="640"/>
        <w:rPr>
          <w:lang w:eastAsia="zh-CN"/>
        </w:rPr>
      </w:pPr>
      <w:r>
        <w:rPr>
          <w:lang w:eastAsia="zh-CN"/>
        </w:rPr>
        <w:t>以“初加工提质、精深加工突破”为导向，建设“一县一主业、一园一特色”格局，以阜新国家农业科技园区、彰武农副产品精深加工产业基地、阜新农产品深加工产业基地为核心，升级改造现有园区，打造集精深加工、仓储物流、质量检测、品牌运营于一体的现代化农产品加工集聚区。</w:t>
      </w:r>
      <w:r>
        <w:rPr>
          <w:rFonts w:hint="eastAsia"/>
          <w:lang w:eastAsia="zh-CN"/>
        </w:rPr>
        <w:t>支持</w:t>
      </w:r>
      <w:r>
        <w:rPr>
          <w:lang w:eastAsia="zh-CN"/>
        </w:rPr>
        <w:t>展牧、双汇、鲁花、正大等龙头</w:t>
      </w:r>
      <w:r>
        <w:rPr>
          <w:rFonts w:hint="eastAsia"/>
          <w:lang w:eastAsia="zh-CN"/>
        </w:rPr>
        <w:t>企业</w:t>
      </w:r>
      <w:r>
        <w:rPr>
          <w:lang w:eastAsia="zh-CN"/>
        </w:rPr>
        <w:t>延链强链，引进培育宠物食品、预制菜、生物制造等新增长点，发展中央厨房、食品套餐等终端产品。</w:t>
      </w:r>
      <w:r>
        <w:rPr>
          <w:rFonts w:hint="eastAsia"/>
          <w:lang w:eastAsia="zh-CN"/>
        </w:rPr>
        <w:t>到2</w:t>
      </w:r>
      <w:r>
        <w:rPr>
          <w:lang w:eastAsia="zh-CN"/>
        </w:rPr>
        <w:t>030</w:t>
      </w:r>
      <w:r>
        <w:rPr>
          <w:rFonts w:hint="eastAsia"/>
          <w:lang w:eastAsia="zh-CN"/>
        </w:rPr>
        <w:t>年，力争</w:t>
      </w:r>
      <w:r>
        <w:rPr>
          <w:lang w:eastAsia="zh-CN"/>
        </w:rPr>
        <w:t>规模以上农产品加工业产值（含皮革）达到255亿元</w:t>
      </w:r>
      <w:r>
        <w:rPr>
          <w:rFonts w:hint="eastAsia"/>
          <w:lang w:eastAsia="zh-CN"/>
        </w:rPr>
        <w:t>，</w:t>
      </w:r>
      <w:r>
        <w:rPr>
          <w:lang w:eastAsia="zh-CN"/>
        </w:rPr>
        <w:t>形成龙头引领、链条完整、集群发展的食品工业格局。</w:t>
      </w:r>
    </w:p>
    <w:p w14:paraId="738AB42C">
      <w:pPr>
        <w:pStyle w:val="3"/>
        <w:ind w:firstLine="643"/>
        <w:rPr>
          <w:lang w:eastAsia="zh-CN"/>
        </w:rPr>
      </w:pPr>
      <w:r>
        <w:rPr>
          <w:rFonts w:hint="eastAsia"/>
          <w:lang w:eastAsia="zh-CN"/>
        </w:rPr>
        <w:t>（二十一）</w:t>
      </w:r>
      <w:r>
        <w:rPr>
          <w:lang w:eastAsia="zh-CN"/>
        </w:rPr>
        <w:t>完善农产品流通体系</w:t>
      </w:r>
    </w:p>
    <w:p w14:paraId="2B2EEE07">
      <w:pPr>
        <w:ind w:firstLine="640"/>
        <w:rPr>
          <w:lang w:eastAsia="zh-CN"/>
        </w:rPr>
      </w:pPr>
      <w:r>
        <w:rPr>
          <w:lang w:eastAsia="zh-CN"/>
        </w:rPr>
        <w:t>以畅通产销、降本稳供为目标，搭建冷链、物流、市场三位一体现代化农产品流通体系。搭建区域枢纽、乡镇预冷、经营主体三级仓储冷链网络，升级粮食仓储设施，</w:t>
      </w:r>
      <w:r>
        <w:rPr>
          <w:rFonts w:hint="eastAsia"/>
          <w:lang w:eastAsia="zh-CN"/>
        </w:rPr>
        <w:t>适度扩充产地</w:t>
      </w:r>
      <w:r>
        <w:rPr>
          <w:lang w:eastAsia="zh-CN"/>
        </w:rPr>
        <w:t>保鲜设施</w:t>
      </w:r>
      <w:r>
        <w:rPr>
          <w:rFonts w:hint="eastAsia"/>
          <w:lang w:eastAsia="zh-CN"/>
        </w:rPr>
        <w:t>供给</w:t>
      </w:r>
      <w:r>
        <w:rPr>
          <w:lang w:eastAsia="zh-CN"/>
        </w:rPr>
        <w:t>，</w:t>
      </w:r>
      <w:r>
        <w:rPr>
          <w:rFonts w:hint="eastAsia"/>
          <w:lang w:eastAsia="zh-CN"/>
        </w:rPr>
        <w:t>降低</w:t>
      </w:r>
      <w:r>
        <w:rPr>
          <w:lang w:eastAsia="zh-CN"/>
        </w:rPr>
        <w:t>产后损耗率。建成市县乡村四级物流网络，整合各类物流资源，培育电商专业人才，线上线下联动拓宽销售渠道。升级花生专业交易中心、县域综合农贸市场，拓展玉米、花生期货交割功能，打造区域性集散枢纽，实现北粮南运通道高效衔接，</w:t>
      </w:r>
      <w:r>
        <w:rPr>
          <w:rFonts w:hint="eastAsia"/>
          <w:lang w:eastAsia="zh-CN"/>
        </w:rPr>
        <w:t>布局建设一批</w:t>
      </w:r>
      <w:r>
        <w:rPr>
          <w:lang w:eastAsia="zh-CN"/>
        </w:rPr>
        <w:t>区域交易中心</w:t>
      </w:r>
      <w:r>
        <w:rPr>
          <w:rFonts w:hint="eastAsia"/>
          <w:lang w:eastAsia="zh-CN"/>
        </w:rPr>
        <w:t>和</w:t>
      </w:r>
      <w:r>
        <w:rPr>
          <w:lang w:eastAsia="zh-CN"/>
        </w:rPr>
        <w:t>冷链</w:t>
      </w:r>
      <w:r>
        <w:rPr>
          <w:rFonts w:hint="eastAsia"/>
          <w:lang w:eastAsia="zh-CN"/>
        </w:rPr>
        <w:t>集配中心</w:t>
      </w:r>
      <w:r>
        <w:rPr>
          <w:lang w:eastAsia="zh-CN"/>
        </w:rPr>
        <w:t>，</w:t>
      </w:r>
      <w:r>
        <w:rPr>
          <w:rFonts w:hint="eastAsia"/>
          <w:lang w:eastAsia="zh-CN"/>
        </w:rPr>
        <w:t>实现</w:t>
      </w:r>
      <w:r>
        <w:rPr>
          <w:lang w:eastAsia="zh-CN"/>
        </w:rPr>
        <w:t>农村物流全域覆盖。</w:t>
      </w:r>
    </w:p>
    <w:p w14:paraId="426E47B4">
      <w:pPr>
        <w:pStyle w:val="3"/>
        <w:ind w:firstLine="643"/>
        <w:rPr>
          <w:lang w:eastAsia="zh-CN"/>
        </w:rPr>
      </w:pPr>
      <w:r>
        <w:rPr>
          <w:rFonts w:hint="eastAsia"/>
          <w:lang w:eastAsia="zh-CN"/>
        </w:rPr>
        <w:t>（二十二）</w:t>
      </w:r>
      <w:r>
        <w:rPr>
          <w:lang w:eastAsia="zh-CN"/>
        </w:rPr>
        <w:t>实施品牌引领战略</w:t>
      </w:r>
    </w:p>
    <w:p w14:paraId="1BC190F8">
      <w:pPr>
        <w:ind w:firstLine="640"/>
        <w:rPr>
          <w:lang w:eastAsia="zh-CN"/>
        </w:rPr>
      </w:pPr>
      <w:r>
        <w:rPr>
          <w:lang w:eastAsia="zh-CN"/>
        </w:rPr>
        <w:t>以品牌强农、质量兴农为核心，构建区域公用、企业、产品三位一体“阜字号”品牌体系。深挖彰武地瓜、老河土花生等地理标志资源，完善品牌准入退出机制，扩容两品一标、名特优新认证，培育本土龙头企业特色品牌。依托线下农展会、特色品鉴会与线上新媒体矩阵、村播体系</w:t>
      </w:r>
      <w:r>
        <w:rPr>
          <w:rFonts w:hint="eastAsia"/>
          <w:lang w:eastAsia="zh-CN"/>
        </w:rPr>
        <w:t>，</w:t>
      </w:r>
      <w:r>
        <w:rPr>
          <w:lang w:eastAsia="zh-CN"/>
        </w:rPr>
        <w:t>搭建多元推广渠道，壮大电商人才队伍，扩大特色农产品全网曝光。搭建全链条农产品溯源体系，升级市级检验检测平台，规范种养投入品管控，常态化动态监管品牌授权主体，以过硬品质持续提升阜新农产品市场溢价与品牌公信力。</w:t>
      </w:r>
    </w:p>
    <w:p w14:paraId="6BE345FE">
      <w:pPr>
        <w:pStyle w:val="3"/>
        <w:ind w:firstLine="643"/>
        <w:rPr>
          <w:lang w:eastAsia="zh-CN"/>
        </w:rPr>
      </w:pPr>
      <w:r>
        <w:rPr>
          <w:rFonts w:hint="eastAsia"/>
          <w:lang w:eastAsia="zh-CN"/>
        </w:rPr>
        <w:t>（二十三）</w:t>
      </w:r>
      <w:r>
        <w:rPr>
          <w:lang w:eastAsia="zh-CN"/>
        </w:rPr>
        <w:t>融合发展农文旅康养产业</w:t>
      </w:r>
    </w:p>
    <w:p w14:paraId="0901218E">
      <w:pPr>
        <w:ind w:firstLine="640"/>
        <w:rPr>
          <w:lang w:eastAsia="zh-CN"/>
        </w:rPr>
      </w:pPr>
      <w:r>
        <w:rPr>
          <w:lang w:eastAsia="zh-CN"/>
        </w:rPr>
        <w:t>重点打造生态治沙研学、乡村休闲采摘、民俗文化体验三条精品线路，串联景区、农田、林下基地多元资源。分区域布局近郊休闲农场、设施农旅综合体、山地滑雪度假区，拓展低空、田园赛事等新兴业态，打造沉浸式农耕体验场景。依托本地特色农产品与民族手工艺开发文旅伴手礼，布局全域展销点位，扶持食品加工企业打造工业研学观光项目，构建游览、体验、购物一体化乡村文旅消费链条，拓宽农业多元增值渠道，促进农文旅康养深度融合。</w:t>
      </w:r>
    </w:p>
    <w:p w14:paraId="0B70F6DE">
      <w:pPr>
        <w:pStyle w:val="3"/>
        <w:ind w:firstLine="643"/>
        <w:rPr>
          <w:lang w:eastAsia="zh-CN"/>
        </w:rPr>
      </w:pPr>
      <w:r>
        <w:rPr>
          <w:rFonts w:hint="eastAsia"/>
          <w:lang w:eastAsia="zh-CN"/>
        </w:rPr>
        <w:t>（二十四）</w:t>
      </w:r>
      <w:r>
        <w:rPr>
          <w:lang w:eastAsia="zh-CN"/>
        </w:rPr>
        <w:t>深化区域协同与开放合作</w:t>
      </w:r>
    </w:p>
    <w:p w14:paraId="07BB518F">
      <w:pPr>
        <w:ind w:firstLine="640"/>
        <w:rPr>
          <w:lang w:eastAsia="zh-CN"/>
        </w:rPr>
      </w:pPr>
      <w:r>
        <w:rPr>
          <w:lang w:eastAsia="zh-CN"/>
        </w:rPr>
        <w:t>主动对接京津冀、沈阳经济圈，布局优质农产品直供基地，拓宽花生、甘薯、肉牛外销渠道，联动东北、辽西城市共享文旅、冷链与产业政策资源，引进外地先进加工技术与龙头项目。深化省内外高校院所产学研协作，围绕花生、设施农业、畜禽产业共建研发示范载体，加速科研成果转化。建立</w:t>
      </w:r>
      <w:r>
        <w:rPr>
          <w:rFonts w:hint="eastAsia"/>
          <w:lang w:eastAsia="zh-CN"/>
        </w:rPr>
        <w:t>阜新县与彰武</w:t>
      </w:r>
      <w:r>
        <w:rPr>
          <w:lang w:eastAsia="zh-CN"/>
        </w:rPr>
        <w:t>县产业协同机制，实行原料供给、精深加工差异化分工，联合打造统一农特产品公共品牌，跨区县协同建设辽西北特色产业集群，以区域联动拓宽阜新农业市场空间、提升整体竞争实力。</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199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8348330">
            <w:pPr>
              <w:spacing w:line="276" w:lineRule="auto"/>
              <w:ind w:firstLine="0" w:firstLineChars="0"/>
              <w:jc w:val="center"/>
              <w:rPr>
                <w:b/>
                <w:bCs/>
                <w:sz w:val="24"/>
                <w:szCs w:val="20"/>
                <w:lang w:eastAsia="zh-CN"/>
              </w:rPr>
            </w:pPr>
            <w:r>
              <w:rPr>
                <w:rFonts w:hint="eastAsia"/>
                <w:b/>
                <w:bCs/>
                <w:sz w:val="24"/>
                <w:szCs w:val="20"/>
                <w:lang w:eastAsia="zh-CN"/>
              </w:rPr>
              <w:t>专栏5：乡村产业提质增效重点项目</w:t>
            </w:r>
          </w:p>
        </w:tc>
      </w:tr>
      <w:tr w14:paraId="1925E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B4FCDDC">
            <w:pPr>
              <w:spacing w:line="276" w:lineRule="auto"/>
              <w:ind w:firstLine="0" w:firstLineChars="0"/>
              <w:rPr>
                <w:sz w:val="24"/>
                <w:szCs w:val="20"/>
                <w:lang w:eastAsia="zh-CN"/>
              </w:rPr>
            </w:pPr>
            <w:r>
              <w:rPr>
                <w:rFonts w:hint="eastAsia"/>
                <w:b/>
                <w:bCs/>
                <w:sz w:val="24"/>
                <w:szCs w:val="20"/>
                <w:lang w:eastAsia="zh-CN"/>
              </w:rPr>
              <w:t>1.粮油精深加工项目。</w:t>
            </w:r>
            <w:r>
              <w:rPr>
                <w:rFonts w:hint="eastAsia"/>
                <w:sz w:val="24"/>
                <w:szCs w:val="20"/>
                <w:lang w:eastAsia="zh-CN"/>
              </w:rPr>
              <w:t>百万吨玉米生物制造产业园、高新区高端杂粮及调味品生产线。</w:t>
            </w:r>
          </w:p>
          <w:p w14:paraId="0F992D51">
            <w:pPr>
              <w:spacing w:line="276" w:lineRule="auto"/>
              <w:ind w:firstLine="0" w:firstLineChars="0"/>
              <w:rPr>
                <w:sz w:val="24"/>
                <w:szCs w:val="20"/>
                <w:lang w:eastAsia="zh-CN"/>
              </w:rPr>
            </w:pPr>
            <w:r>
              <w:rPr>
                <w:rFonts w:hint="eastAsia"/>
                <w:b/>
                <w:bCs/>
                <w:sz w:val="24"/>
                <w:szCs w:val="20"/>
                <w:lang w:eastAsia="zh-CN"/>
              </w:rPr>
              <w:t>2.畜禽加工项目。</w:t>
            </w:r>
            <w:r>
              <w:rPr>
                <w:rFonts w:hint="eastAsia"/>
                <w:sz w:val="24"/>
                <w:szCs w:val="20"/>
                <w:lang w:eastAsia="zh-CN"/>
              </w:rPr>
              <w:t>清河门区新建肉牛肉羊屠宰深加工、阜新县100万头生猪屠宰及食品加工。</w:t>
            </w:r>
          </w:p>
          <w:p w14:paraId="026C3F57">
            <w:pPr>
              <w:spacing w:line="276" w:lineRule="auto"/>
              <w:ind w:firstLine="0" w:firstLineChars="0"/>
              <w:rPr>
                <w:sz w:val="24"/>
                <w:szCs w:val="20"/>
                <w:lang w:eastAsia="zh-CN"/>
              </w:rPr>
            </w:pPr>
            <w:r>
              <w:rPr>
                <w:rFonts w:hint="eastAsia"/>
                <w:b/>
                <w:bCs/>
                <w:sz w:val="24"/>
                <w:szCs w:val="20"/>
                <w:lang w:eastAsia="zh-CN"/>
              </w:rPr>
              <w:t>3.宠物食品加工项目。</w:t>
            </w:r>
            <w:r>
              <w:rPr>
                <w:rFonts w:hint="eastAsia"/>
                <w:sz w:val="24"/>
                <w:szCs w:val="20"/>
                <w:lang w:eastAsia="zh-CN"/>
              </w:rPr>
              <w:t>宠物零食产业园、高端冻干主粮智能制造基地、网易天成纯肉宠物零食代工。</w:t>
            </w:r>
          </w:p>
          <w:p w14:paraId="0DC6A7F4">
            <w:pPr>
              <w:spacing w:line="276" w:lineRule="auto"/>
              <w:ind w:firstLine="0" w:firstLineChars="0"/>
              <w:rPr>
                <w:sz w:val="24"/>
                <w:szCs w:val="20"/>
                <w:lang w:eastAsia="zh-CN"/>
              </w:rPr>
            </w:pPr>
            <w:r>
              <w:rPr>
                <w:rFonts w:hint="eastAsia"/>
                <w:b/>
                <w:bCs/>
                <w:sz w:val="24"/>
                <w:szCs w:val="20"/>
                <w:lang w:eastAsia="zh-CN"/>
              </w:rPr>
              <w:t>4.加工园区项目。</w:t>
            </w:r>
            <w:r>
              <w:rPr>
                <w:rFonts w:hint="eastAsia"/>
                <w:sz w:val="24"/>
                <w:szCs w:val="20"/>
                <w:lang w:eastAsia="zh-CN"/>
              </w:rPr>
              <w:t>彰武县两家子镇农产品精深加工示范园区、细河区农副产品深加工产业园区、国际宠物产业合作园。</w:t>
            </w:r>
          </w:p>
        </w:tc>
      </w:tr>
    </w:tbl>
    <w:p w14:paraId="5E8443E2">
      <w:pPr>
        <w:pStyle w:val="2"/>
        <w:ind w:firstLine="643"/>
        <w:rPr>
          <w:lang w:eastAsia="zh-CN"/>
        </w:rPr>
      </w:pPr>
      <w:r>
        <w:rPr>
          <w:lang w:eastAsia="zh-CN"/>
        </w:rPr>
        <w:t>六、推动农业绿色低碳循环发展，促进乡村生态振兴</w:t>
      </w:r>
    </w:p>
    <w:p w14:paraId="132D219A">
      <w:pPr>
        <w:ind w:firstLine="640"/>
        <w:rPr>
          <w:lang w:eastAsia="zh-CN"/>
        </w:rPr>
      </w:pPr>
      <w:r>
        <w:rPr>
          <w:lang w:eastAsia="zh-CN"/>
        </w:rPr>
        <w:t>深入贯彻农业绿色发展部署，推进投入品减量与废弃物资源化利用，构建种养循环体系，统筹农业生态保护修复，坚决打赢科尔沁沙地歼灭战，擦亮阜新农业高质量发展生态底色。</w:t>
      </w:r>
    </w:p>
    <w:p w14:paraId="456EC505">
      <w:pPr>
        <w:pStyle w:val="3"/>
        <w:ind w:firstLine="643"/>
        <w:rPr>
          <w:lang w:eastAsia="zh-CN"/>
        </w:rPr>
      </w:pPr>
      <w:r>
        <w:rPr>
          <w:rFonts w:hint="eastAsia"/>
          <w:lang w:eastAsia="zh-CN"/>
        </w:rPr>
        <w:t>（二十五）</w:t>
      </w:r>
      <w:r>
        <w:rPr>
          <w:lang w:eastAsia="zh-CN"/>
        </w:rPr>
        <w:t>推进投入品减量化</w:t>
      </w:r>
    </w:p>
    <w:p w14:paraId="458933DF">
      <w:pPr>
        <w:ind w:firstLine="640"/>
        <w:rPr>
          <w:lang w:eastAsia="zh-CN"/>
        </w:rPr>
      </w:pPr>
      <w:r>
        <w:rPr>
          <w:lang w:eastAsia="zh-CN"/>
        </w:rPr>
        <w:t>坚持预防为主、综合施策，聚焦化肥、农药、兽药减量增效，推动农业精准绿色生产。</w:t>
      </w:r>
      <w:r>
        <w:rPr>
          <w:rFonts w:hint="eastAsia"/>
          <w:lang w:eastAsia="zh-CN"/>
        </w:rPr>
        <w:t>大力推广</w:t>
      </w:r>
      <w:r>
        <w:rPr>
          <w:lang w:eastAsia="zh-CN"/>
        </w:rPr>
        <w:t>测土配方、水肥一体化，提升化肥利用率</w:t>
      </w:r>
      <w:r>
        <w:rPr>
          <w:rFonts w:hint="eastAsia"/>
          <w:lang w:eastAsia="zh-CN"/>
        </w:rPr>
        <w:t>。</w:t>
      </w:r>
      <w:r>
        <w:rPr>
          <w:lang w:eastAsia="zh-CN"/>
        </w:rPr>
        <w:t>搭建绿色防控体系，推广生物防治与统防统治，提高农药利用效率</w:t>
      </w:r>
      <w:r>
        <w:rPr>
          <w:rFonts w:hint="eastAsia"/>
          <w:lang w:eastAsia="zh-CN"/>
        </w:rPr>
        <w:t>。</w:t>
      </w:r>
      <w:r>
        <w:rPr>
          <w:lang w:eastAsia="zh-CN"/>
        </w:rPr>
        <w:t>落实养殖减抗举措，规范兽药全链条监管，建设达标养殖场，持续提升种养品安全水平。</w:t>
      </w:r>
    </w:p>
    <w:p w14:paraId="3B97D0CC">
      <w:pPr>
        <w:pStyle w:val="3"/>
        <w:ind w:firstLine="643"/>
        <w:rPr>
          <w:lang w:eastAsia="zh-CN"/>
        </w:rPr>
      </w:pPr>
      <w:r>
        <w:rPr>
          <w:rFonts w:hint="eastAsia"/>
          <w:lang w:eastAsia="zh-CN"/>
        </w:rPr>
        <w:t>（二十六）</w:t>
      </w:r>
      <w:r>
        <w:rPr>
          <w:lang w:eastAsia="zh-CN"/>
        </w:rPr>
        <w:t>探索种养结合绿色循环模式</w:t>
      </w:r>
    </w:p>
    <w:p w14:paraId="4A31F355">
      <w:pPr>
        <w:ind w:firstLine="640"/>
        <w:rPr>
          <w:lang w:eastAsia="zh-CN"/>
        </w:rPr>
      </w:pPr>
      <w:r>
        <w:rPr>
          <w:lang w:eastAsia="zh-CN"/>
        </w:rPr>
        <w:t>统筹种养布局，坚持以地定养，分区推广轮作固土、设施粪肥还田、林下种养多元循环模式，联合科研单位攻关循环技术，配套粪污处理设施，培育循环经营主体，实现资源高效利用与生态良性循环</w:t>
      </w:r>
      <w:r>
        <w:rPr>
          <w:rFonts w:hint="eastAsia"/>
          <w:lang w:eastAsia="zh-CN"/>
        </w:rPr>
        <w:t>。</w:t>
      </w:r>
    </w:p>
    <w:p w14:paraId="7950D9D2">
      <w:pPr>
        <w:pStyle w:val="3"/>
        <w:ind w:firstLine="643"/>
        <w:rPr>
          <w:lang w:eastAsia="zh-CN"/>
        </w:rPr>
      </w:pPr>
      <w:r>
        <w:rPr>
          <w:rFonts w:hint="eastAsia"/>
          <w:lang w:eastAsia="zh-CN"/>
        </w:rPr>
        <w:t>（二十七）</w:t>
      </w:r>
      <w:r>
        <w:rPr>
          <w:lang w:eastAsia="zh-CN"/>
        </w:rPr>
        <w:t>加强农业废弃物资源化利用</w:t>
      </w:r>
    </w:p>
    <w:p w14:paraId="2DC1343E">
      <w:pPr>
        <w:ind w:firstLine="640"/>
        <w:rPr>
          <w:lang w:eastAsia="zh-CN"/>
        </w:rPr>
      </w:pPr>
      <w:r>
        <w:rPr>
          <w:rFonts w:hint="eastAsia"/>
          <w:lang w:eastAsia="zh-CN"/>
        </w:rPr>
        <w:t>坚持减量化、资源化、无害化原则，围绕秸秆、畜禽粪污、农膜等农业废弃物完善回收利用体系。推动秸秆饲料化、燃料化等多元路径应用，搭建四级粪污收运处置体系，推广</w:t>
      </w:r>
      <w:r>
        <w:rPr>
          <w:lang w:eastAsia="zh-CN"/>
        </w:rPr>
        <w:t>“</w:t>
      </w:r>
      <w:r>
        <w:rPr>
          <w:rFonts w:hint="eastAsia"/>
          <w:lang w:eastAsia="zh-CN"/>
        </w:rPr>
        <w:t>三改两分一利用</w:t>
      </w:r>
      <w:r>
        <w:rPr>
          <w:lang w:eastAsia="zh-CN"/>
        </w:rPr>
        <w:t>”</w:t>
      </w:r>
      <w:r>
        <w:rPr>
          <w:rFonts w:hint="eastAsia"/>
          <w:lang w:eastAsia="zh-CN"/>
        </w:rPr>
        <w:t>技术模式。健全农膜、农药包装废弃物回收机制，落实销售主体回收责任，切实降低农业面源污染，力争</w:t>
      </w:r>
      <w:r>
        <w:rPr>
          <w:lang w:eastAsia="zh-CN"/>
        </w:rPr>
        <w:t>粪污</w:t>
      </w:r>
      <w:r>
        <w:rPr>
          <w:rFonts w:hint="eastAsia"/>
          <w:lang w:eastAsia="zh-CN"/>
        </w:rPr>
        <w:t>综合</w:t>
      </w:r>
      <w:r>
        <w:rPr>
          <w:lang w:eastAsia="zh-CN"/>
        </w:rPr>
        <w:t>利用率85%以上</w:t>
      </w:r>
      <w:r>
        <w:rPr>
          <w:rFonts w:hint="eastAsia"/>
          <w:lang w:eastAsia="zh-CN"/>
        </w:rPr>
        <w:t>，助力农业绿色低碳发展。</w:t>
      </w:r>
    </w:p>
    <w:p w14:paraId="67FDF82D">
      <w:pPr>
        <w:pStyle w:val="3"/>
        <w:ind w:firstLine="643"/>
        <w:rPr>
          <w:lang w:eastAsia="zh-CN"/>
        </w:rPr>
      </w:pPr>
      <w:r>
        <w:rPr>
          <w:rFonts w:hint="eastAsia"/>
          <w:lang w:eastAsia="zh-CN"/>
        </w:rPr>
        <w:t>（二十八）</w:t>
      </w:r>
      <w:r>
        <w:rPr>
          <w:lang w:eastAsia="zh-CN"/>
        </w:rPr>
        <w:t>协同实施生态保护与修复工程</w:t>
      </w:r>
    </w:p>
    <w:p w14:paraId="1526C565">
      <w:pPr>
        <w:ind w:firstLine="640"/>
        <w:rPr>
          <w:lang w:eastAsia="zh-CN"/>
        </w:rPr>
      </w:pPr>
      <w:r>
        <w:rPr>
          <w:lang w:eastAsia="zh-CN"/>
        </w:rPr>
        <w:t>紧扣科尔沁沙地歼灭战战略部署，协同推进农业生态保护修复，重点实施沙化耕地综合治理，推进千里阻沙带阜新段建设，落实沙化土地分类管控。开展流域水土流失与农村水环境治理，提升农村供水保障水平。强化种质资源保护，建设种质资源库与苗木基地，发展特色经济林，持续增强区域生态系统稳定性。</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CEF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B6F6E83">
            <w:pPr>
              <w:spacing w:line="276" w:lineRule="auto"/>
              <w:ind w:firstLine="0" w:firstLineChars="0"/>
              <w:jc w:val="center"/>
              <w:rPr>
                <w:b/>
                <w:bCs/>
                <w:sz w:val="24"/>
                <w:szCs w:val="20"/>
                <w:lang w:eastAsia="zh-CN"/>
              </w:rPr>
            </w:pPr>
            <w:r>
              <w:rPr>
                <w:rFonts w:hint="eastAsia"/>
                <w:b/>
                <w:bCs/>
                <w:sz w:val="24"/>
                <w:szCs w:val="20"/>
                <w:lang w:eastAsia="zh-CN"/>
              </w:rPr>
              <w:t>专栏6：农业绿色发展重点项目</w:t>
            </w:r>
          </w:p>
        </w:tc>
      </w:tr>
      <w:tr w14:paraId="04A1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1680D5EC">
            <w:pPr>
              <w:spacing w:line="276" w:lineRule="auto"/>
              <w:ind w:firstLine="0" w:firstLineChars="0"/>
              <w:rPr>
                <w:sz w:val="24"/>
                <w:szCs w:val="20"/>
                <w:lang w:eastAsia="zh-CN"/>
              </w:rPr>
            </w:pPr>
            <w:r>
              <w:rPr>
                <w:rFonts w:hint="eastAsia"/>
                <w:b/>
                <w:bCs/>
                <w:sz w:val="24"/>
                <w:szCs w:val="20"/>
                <w:lang w:eastAsia="zh-CN"/>
              </w:rPr>
              <w:t>1.农业面源污染治理项目。</w:t>
            </w:r>
            <w:r>
              <w:rPr>
                <w:rFonts w:hint="eastAsia"/>
                <w:sz w:val="24"/>
                <w:szCs w:val="20"/>
                <w:lang w:eastAsia="zh-CN"/>
              </w:rPr>
              <w:t>重点流域农田氮磷污染减排、畜禽粪污处理利用、秸秆综合利用工程。</w:t>
            </w:r>
          </w:p>
          <w:p w14:paraId="679B8B4F">
            <w:pPr>
              <w:spacing w:line="276" w:lineRule="auto"/>
              <w:ind w:firstLine="0" w:firstLineChars="0"/>
              <w:rPr>
                <w:sz w:val="24"/>
                <w:szCs w:val="20"/>
                <w:lang w:eastAsia="zh-CN"/>
              </w:rPr>
            </w:pPr>
            <w:r>
              <w:rPr>
                <w:rFonts w:hint="eastAsia"/>
                <w:b/>
                <w:bCs/>
                <w:sz w:val="24"/>
                <w:szCs w:val="20"/>
                <w:lang w:eastAsia="zh-CN"/>
              </w:rPr>
              <w:t>2.农村生态系统保护修复工程。</w:t>
            </w:r>
            <w:r>
              <w:rPr>
                <w:rFonts w:hint="eastAsia"/>
                <w:sz w:val="24"/>
                <w:szCs w:val="20"/>
                <w:lang w:eastAsia="zh-CN"/>
              </w:rPr>
              <w:t>科尔沁沙地歼灭战、千里阻沙带阜新段建设、国土绿化与森林可持续经营。</w:t>
            </w:r>
            <w:r>
              <w:rPr>
                <w:sz w:val="24"/>
                <w:szCs w:val="20"/>
                <w:lang w:eastAsia="zh-CN"/>
              </w:rPr>
              <w:t>辽西北防沙带山水林田湖草沙一体化保护与修复工程彰武县侵蚀沟综合治理。</w:t>
            </w:r>
          </w:p>
          <w:p w14:paraId="553C47F7">
            <w:pPr>
              <w:spacing w:line="276" w:lineRule="auto"/>
              <w:ind w:firstLine="0" w:firstLineChars="0"/>
              <w:rPr>
                <w:sz w:val="24"/>
                <w:szCs w:val="20"/>
                <w:lang w:eastAsia="zh-CN"/>
              </w:rPr>
            </w:pPr>
            <w:r>
              <w:rPr>
                <w:rFonts w:hint="eastAsia"/>
                <w:b/>
                <w:bCs/>
                <w:sz w:val="24"/>
                <w:szCs w:val="20"/>
                <w:lang w:eastAsia="zh-CN"/>
              </w:rPr>
              <w:t>3.农业生物多样性保护工程。</w:t>
            </w:r>
            <w:r>
              <w:rPr>
                <w:rFonts w:hint="eastAsia"/>
                <w:sz w:val="24"/>
                <w:szCs w:val="20"/>
                <w:lang w:eastAsia="zh-CN"/>
              </w:rPr>
              <w:t>农业野生植物物种保护，外来入侵物种防控，特色经济林与林下资源保护。</w:t>
            </w:r>
          </w:p>
        </w:tc>
      </w:tr>
    </w:tbl>
    <w:p w14:paraId="48CF9A95">
      <w:pPr>
        <w:ind w:firstLine="640"/>
        <w:rPr>
          <w:lang w:eastAsia="zh-CN"/>
        </w:rPr>
      </w:pPr>
    </w:p>
    <w:p w14:paraId="5F6A1B65">
      <w:pPr>
        <w:pStyle w:val="2"/>
        <w:ind w:firstLine="643"/>
        <w:rPr>
          <w:lang w:eastAsia="zh-CN"/>
        </w:rPr>
      </w:pPr>
      <w:r>
        <w:rPr>
          <w:lang w:eastAsia="zh-CN"/>
        </w:rPr>
        <w:t>七、学习运用“千万工程”经验，推动宜居宜业和美乡村建设</w:t>
      </w:r>
    </w:p>
    <w:p w14:paraId="04A9E6A9">
      <w:pPr>
        <w:ind w:firstLine="640"/>
        <w:rPr>
          <w:lang w:eastAsia="zh-CN"/>
        </w:rPr>
      </w:pPr>
      <w:r>
        <w:rPr>
          <w:lang w:eastAsia="zh-CN"/>
        </w:rPr>
        <w:t>深入践行“千万工程”“规划引领、生态优先、城乡融合、共建共享”核心理念，立足阜新乡村资源禀赋与发展实际，分类有序、片区化推进乡村振兴，补齐基础设施与公共服务短板，整治提升人居环境，深化乡村治理与精神文明建设，全方位推进宜居宜业和美乡村建设。</w:t>
      </w:r>
    </w:p>
    <w:p w14:paraId="05028344">
      <w:pPr>
        <w:pStyle w:val="3"/>
        <w:ind w:firstLine="643"/>
        <w:rPr>
          <w:lang w:eastAsia="zh-CN"/>
        </w:rPr>
      </w:pPr>
      <w:r>
        <w:rPr>
          <w:rFonts w:hint="eastAsia"/>
          <w:lang w:eastAsia="zh-CN"/>
        </w:rPr>
        <w:t>（二十九）</w:t>
      </w:r>
      <w:r>
        <w:rPr>
          <w:lang w:eastAsia="zh-CN"/>
        </w:rPr>
        <w:t>统筹推进农村基础设施现代化</w:t>
      </w:r>
    </w:p>
    <w:p w14:paraId="4C727F13">
      <w:pPr>
        <w:ind w:firstLine="640"/>
        <w:rPr>
          <w:lang w:eastAsia="zh-CN"/>
        </w:rPr>
      </w:pPr>
      <w:r>
        <w:rPr>
          <w:lang w:eastAsia="zh-CN"/>
        </w:rPr>
        <w:t>坚持城乡一体、适度超前、补齐短板、提升效能原则，统筹推进农村基础设施现代化，夯实和美乡村硬件根基。完善农村交通物流网络，实施村内道路建设工程，实现村内道路硬化绿化亮化全覆盖。强化农村水利能源保障，提质改造农村供水工程，推广太阳能、生物质能等清洁能源，筑牢饮水与生产生活用电保障。加快农村5G网络全域覆盖，建强村级数字化服务站点，拓展智慧农业应用，搭建乡村数字化治理平台，赋能生产生活与乡村治理，打造数字乡村示范样板。</w:t>
      </w:r>
    </w:p>
    <w:p w14:paraId="5F81DEA8">
      <w:pPr>
        <w:pStyle w:val="3"/>
        <w:ind w:firstLine="643"/>
        <w:rPr>
          <w:lang w:eastAsia="zh-CN"/>
        </w:rPr>
      </w:pPr>
      <w:r>
        <w:rPr>
          <w:rFonts w:hint="eastAsia"/>
          <w:lang w:eastAsia="zh-CN"/>
        </w:rPr>
        <w:t>（三十）</w:t>
      </w:r>
      <w:r>
        <w:rPr>
          <w:lang w:eastAsia="zh-CN"/>
        </w:rPr>
        <w:t>推动城乡基本公共服务均等化</w:t>
      </w:r>
    </w:p>
    <w:p w14:paraId="1447BC4F">
      <w:pPr>
        <w:ind w:firstLine="640"/>
        <w:rPr>
          <w:lang w:eastAsia="zh-CN"/>
        </w:rPr>
      </w:pPr>
      <w:r>
        <w:rPr>
          <w:lang w:eastAsia="zh-CN"/>
        </w:rPr>
        <w:t>坚持普惠共享、补齐短板、提质增效导向，推动优质公共服务资源下沉，构建覆盖城乡、标准统一的基本公共服务体系。优化农村教育布局，建强城乡学校共同体，持续缩小城乡教育差距。深化紧密型县域医共体建设，夯实基层医疗人才队伍，提升基层诊疗能力，健全村级互助养老设施，完善农村养老服务供给。巩固农村社保参保成效，健全多层次医疗保障机制，搭建就业服务平台，开展订单式技能培训，拓展就地就近就业空间。完善村级文化体育硬件设施，开展惠民文体活动，升级乡镇便民服务中心，推行一站式办理，全面提升农村公共服务供给质量与便捷水平。</w:t>
      </w:r>
    </w:p>
    <w:p w14:paraId="1F0FDE0B">
      <w:pPr>
        <w:pStyle w:val="3"/>
        <w:ind w:firstLine="643"/>
        <w:rPr>
          <w:lang w:eastAsia="zh-CN"/>
        </w:rPr>
      </w:pPr>
      <w:r>
        <w:rPr>
          <w:rFonts w:hint="eastAsia"/>
          <w:lang w:eastAsia="zh-CN"/>
        </w:rPr>
        <w:t>（三十一）</w:t>
      </w:r>
      <w:r>
        <w:rPr>
          <w:lang w:eastAsia="zh-CN"/>
        </w:rPr>
        <w:t>深化农村人居环境整治提升</w:t>
      </w:r>
    </w:p>
    <w:p w14:paraId="3EC62071">
      <w:pPr>
        <w:ind w:firstLine="640"/>
        <w:rPr>
          <w:lang w:eastAsia="zh-CN"/>
        </w:rPr>
      </w:pPr>
      <w:r>
        <w:rPr>
          <w:lang w:eastAsia="zh-CN"/>
        </w:rPr>
        <w:t>因地制宜推进农村厕所革命，健全粪污管护处置体系，采取分散为主、集中为辅模式治理生活污水，运用黑灰水分离资源化技术，常态化排查整治农村黑臭水体。完善生活垃圾收运处置，开展垃圾分类试点，统筹推进秸秆、农膜、畜禽粪污资源化利用。实施村庄绿化美化，盘活闲置地块建设口袋公园，规范农房建设，保护传统民居，结合沙地治理营造林经混交格局，深化美丽庭院创建，实现治沙与兴村协同推进。</w:t>
      </w:r>
    </w:p>
    <w:p w14:paraId="51D75DBA">
      <w:pPr>
        <w:pStyle w:val="3"/>
        <w:ind w:firstLine="643"/>
        <w:rPr>
          <w:lang w:eastAsia="zh-CN"/>
        </w:rPr>
      </w:pPr>
      <w:r>
        <w:rPr>
          <w:rFonts w:hint="eastAsia"/>
          <w:lang w:eastAsia="zh-CN"/>
        </w:rPr>
        <w:t>（三十二）</w:t>
      </w:r>
      <w:r>
        <w:rPr>
          <w:lang w:eastAsia="zh-CN"/>
        </w:rPr>
        <w:t>厚植乡村精神文明新风尚</w:t>
      </w:r>
    </w:p>
    <w:p w14:paraId="4E3377C5">
      <w:pPr>
        <w:ind w:firstLine="640"/>
        <w:rPr>
          <w:lang w:eastAsia="zh-CN"/>
        </w:rPr>
      </w:pPr>
      <w:r>
        <w:rPr>
          <w:lang w:eastAsia="zh-CN"/>
        </w:rPr>
        <w:t>以培育践行社会主义核心价值观为核心，深挖蒙古族民俗、农耕文化与治沙精神本土资源，保护非遗</w:t>
      </w:r>
      <w:r>
        <w:rPr>
          <w:rFonts w:hint="eastAsia"/>
          <w:lang w:eastAsia="zh-CN"/>
        </w:rPr>
        <w:t>与乡村历史遗迹</w:t>
      </w:r>
      <w:r>
        <w:rPr>
          <w:lang w:eastAsia="zh-CN"/>
        </w:rPr>
        <w:t>，建强村级文化阵地，开展多元群众文体活动，厚植乡村文化底蕴。纵深</w:t>
      </w:r>
      <w:r>
        <w:rPr>
          <w:rFonts w:hint="eastAsia"/>
          <w:lang w:eastAsia="zh-CN"/>
        </w:rPr>
        <w:t>开展</w:t>
      </w:r>
      <w:r>
        <w:rPr>
          <w:lang w:eastAsia="zh-CN"/>
        </w:rPr>
        <w:t>移风易俗专项整治，针对高价彩礼、大操大办等问题，依托新时代文明实践阵地开展文明典型评选，修订完善村规民约，倡导文明祭祀，破除封建迷信。强化农民思想道德教育，多渠道</w:t>
      </w:r>
      <w:r>
        <w:rPr>
          <w:rFonts w:hint="eastAsia"/>
          <w:lang w:eastAsia="zh-CN"/>
        </w:rPr>
        <w:t>弘扬文明乡风</w:t>
      </w:r>
      <w:r>
        <w:rPr>
          <w:lang w:eastAsia="zh-CN"/>
        </w:rPr>
        <w:t>，引导群众参与志愿服务公益</w:t>
      </w:r>
      <w:r>
        <w:rPr>
          <w:rFonts w:hint="eastAsia"/>
          <w:lang w:eastAsia="zh-CN"/>
        </w:rPr>
        <w:t>行动</w:t>
      </w:r>
      <w:r>
        <w:rPr>
          <w:lang w:eastAsia="zh-CN"/>
        </w:rPr>
        <w:t>，</w:t>
      </w:r>
      <w:r>
        <w:rPr>
          <w:rFonts w:hint="eastAsia"/>
          <w:lang w:eastAsia="zh-CN"/>
        </w:rPr>
        <w:t>结合</w:t>
      </w:r>
      <w:r>
        <w:rPr>
          <w:lang w:eastAsia="zh-CN"/>
        </w:rPr>
        <w:t>农文旅研学业态传播乡村文明，为和美乡村建设凝聚精神合力。</w:t>
      </w:r>
    </w:p>
    <w:p w14:paraId="27869A2F">
      <w:pPr>
        <w:pStyle w:val="3"/>
        <w:ind w:firstLine="643"/>
        <w:rPr>
          <w:lang w:eastAsia="zh-CN"/>
        </w:rPr>
      </w:pPr>
      <w:r>
        <w:rPr>
          <w:rFonts w:hint="eastAsia"/>
          <w:lang w:eastAsia="zh-CN"/>
        </w:rPr>
        <w:t>（三十三）</w:t>
      </w:r>
      <w:r>
        <w:rPr>
          <w:lang w:eastAsia="zh-CN"/>
        </w:rPr>
        <w:t>提升乡村治理现代化水平</w:t>
      </w:r>
    </w:p>
    <w:p w14:paraId="71D5B9D7">
      <w:pPr>
        <w:ind w:firstLine="640"/>
        <w:rPr>
          <w:lang w:eastAsia="zh-CN"/>
        </w:rPr>
      </w:pPr>
      <w:r>
        <w:rPr>
          <w:lang w:eastAsia="zh-CN"/>
        </w:rPr>
        <w:t>坚持党建引领，健全自治、法治、德治相结合的乡村治理体系，构建共建共治共享治理格局。强化村级组织建设，落实“四议两公开”，推广积分制、清单制，完善集体经济运行机制，保障群众民主权利。深化农村普法宣传，健全矛盾纠纷多元化解机制，发挥德治示范作用，筑牢农村社会治安防控屏障。推进乡村治理数字化，搭建数字化治理平台，推广互联网+网格管理，完善农村应急管理体系，运用数字化手段落实农产品全程追溯，全面提升乡村治理精细化、规范化、智能化水平。</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E42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2F4752DC">
            <w:pPr>
              <w:spacing w:line="276" w:lineRule="auto"/>
              <w:ind w:firstLine="0" w:firstLineChars="0"/>
              <w:jc w:val="center"/>
              <w:rPr>
                <w:b/>
                <w:bCs/>
                <w:sz w:val="24"/>
                <w:szCs w:val="20"/>
                <w:lang w:eastAsia="zh-CN"/>
              </w:rPr>
            </w:pPr>
            <w:r>
              <w:rPr>
                <w:rFonts w:hint="eastAsia"/>
                <w:b/>
                <w:bCs/>
                <w:sz w:val="24"/>
                <w:szCs w:val="20"/>
                <w:lang w:eastAsia="zh-CN"/>
              </w:rPr>
              <w:t>专栏7：农村现代化重点项目</w:t>
            </w:r>
          </w:p>
        </w:tc>
      </w:tr>
      <w:tr w14:paraId="12CEF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3A7B6F3D">
            <w:pPr>
              <w:spacing w:line="276" w:lineRule="auto"/>
              <w:ind w:firstLine="0" w:firstLineChars="0"/>
              <w:rPr>
                <w:sz w:val="24"/>
                <w:szCs w:val="20"/>
                <w:lang w:eastAsia="zh-CN"/>
              </w:rPr>
            </w:pPr>
            <w:r>
              <w:rPr>
                <w:rFonts w:hint="eastAsia"/>
                <w:b/>
                <w:bCs/>
                <w:sz w:val="24"/>
                <w:szCs w:val="20"/>
                <w:lang w:eastAsia="zh-CN"/>
              </w:rPr>
              <w:t>1..农村基础设施工程。</w:t>
            </w:r>
            <w:r>
              <w:rPr>
                <w:rFonts w:hint="eastAsia"/>
                <w:sz w:val="24"/>
                <w:szCs w:val="20"/>
                <w:lang w:eastAsia="zh-CN"/>
              </w:rPr>
              <w:t>村内道路提档升级，农村5G网络与千兆光网延伸，农网巩固提升，农村供水工程建设。</w:t>
            </w:r>
          </w:p>
          <w:p w14:paraId="2C675259">
            <w:pPr>
              <w:spacing w:line="276" w:lineRule="auto"/>
              <w:ind w:firstLine="0" w:firstLineChars="0"/>
              <w:rPr>
                <w:sz w:val="24"/>
                <w:szCs w:val="20"/>
                <w:lang w:eastAsia="zh-CN"/>
              </w:rPr>
            </w:pPr>
            <w:r>
              <w:rPr>
                <w:rFonts w:hint="eastAsia"/>
                <w:b/>
                <w:bCs/>
                <w:sz w:val="24"/>
                <w:szCs w:val="20"/>
                <w:lang w:eastAsia="zh-CN"/>
              </w:rPr>
              <w:t>2.公共服务提升工程。</w:t>
            </w:r>
            <w:r>
              <w:rPr>
                <w:rFonts w:hint="eastAsia"/>
                <w:sz w:val="24"/>
                <w:szCs w:val="20"/>
                <w:lang w:eastAsia="zh-CN"/>
              </w:rPr>
              <w:t>阜新县、彰武县紧密型县域医共体建设，农村低收入人口危房改造，文明乡风建设工程。</w:t>
            </w:r>
          </w:p>
        </w:tc>
      </w:tr>
    </w:tbl>
    <w:p w14:paraId="29B397E8">
      <w:pPr>
        <w:pStyle w:val="2"/>
        <w:ind w:firstLine="643"/>
        <w:rPr>
          <w:lang w:eastAsia="zh-CN"/>
        </w:rPr>
      </w:pPr>
      <w:r>
        <w:rPr>
          <w:lang w:eastAsia="zh-CN"/>
        </w:rPr>
        <w:t>八、健全常态化帮扶体系，夯实共同富裕基础</w:t>
      </w:r>
    </w:p>
    <w:p w14:paraId="69D7743F">
      <w:pPr>
        <w:ind w:firstLine="640"/>
        <w:rPr>
          <w:lang w:eastAsia="zh-CN"/>
        </w:rPr>
      </w:pPr>
      <w:r>
        <w:rPr>
          <w:rFonts w:hint="eastAsia"/>
          <w:lang w:eastAsia="zh-CN"/>
        </w:rPr>
        <w:t>深入贯彻落实共同富裕战略部署，立足阜新巩固拓展脱贫攻坚成果实际，</w:t>
      </w:r>
      <w:r>
        <w:rPr>
          <w:lang w:eastAsia="zh-CN"/>
        </w:rPr>
        <w:t>统筹建立常态化防止返贫致贫机制，健全完善常态化帮扶政策体系，增强脱贫地区和脱贫群众内生发展动力，守牢不发生规模性返贫致贫底线。</w:t>
      </w:r>
    </w:p>
    <w:p w14:paraId="09939458">
      <w:pPr>
        <w:pStyle w:val="3"/>
        <w:ind w:firstLine="643"/>
        <w:rPr>
          <w:lang w:eastAsia="zh-CN"/>
        </w:rPr>
      </w:pPr>
      <w:r>
        <w:rPr>
          <w:rFonts w:hint="eastAsia"/>
          <w:lang w:eastAsia="zh-CN"/>
        </w:rPr>
        <w:t>（三十四）建立健全常态化</w:t>
      </w:r>
      <w:r>
        <w:rPr>
          <w:lang w:eastAsia="zh-CN"/>
        </w:rPr>
        <w:t>防返贫</w:t>
      </w:r>
      <w:r>
        <w:rPr>
          <w:rFonts w:hint="eastAsia"/>
          <w:lang w:eastAsia="zh-CN"/>
        </w:rPr>
        <w:t>致贫</w:t>
      </w:r>
      <w:r>
        <w:rPr>
          <w:lang w:eastAsia="zh-CN"/>
        </w:rPr>
        <w:t>监测帮扶机制</w:t>
      </w:r>
    </w:p>
    <w:p w14:paraId="7DAEA651">
      <w:pPr>
        <w:ind w:firstLine="640"/>
        <w:rPr>
          <w:lang w:eastAsia="zh-CN"/>
        </w:rPr>
      </w:pPr>
      <w:r>
        <w:rPr>
          <w:lang w:eastAsia="zh-CN"/>
        </w:rPr>
        <w:t>以监测预警及时性、帮扶有效性和退出稳定性为重心，对防止返贫致贫对象和继续帮扶的脱贫人口实施全过程闭环管理。拓宽监测识别范围，落实农户申报、日常排查、大数据预警三位一体模式，常态化开展数据筛查与实地排查，简化识别流程，实现早发现早干预。针对风险类型落实一户一策，对具备劳动能力的帮扶对象实施产业就业开发式帮扶，对无劳动能力的帮扶对象协调落实兜底保障。严格规范防止返贫致贫对象退出标准程序，再次发现风险时重新纳入监测帮扶范围，及时处置风险隐患。</w:t>
      </w:r>
    </w:p>
    <w:p w14:paraId="302F7407">
      <w:pPr>
        <w:pStyle w:val="3"/>
        <w:ind w:firstLine="643"/>
        <w:rPr>
          <w:lang w:eastAsia="zh-CN"/>
        </w:rPr>
      </w:pPr>
      <w:r>
        <w:rPr>
          <w:rFonts w:hint="eastAsia"/>
          <w:lang w:eastAsia="zh-CN"/>
        </w:rPr>
        <w:t>（三十五）</w:t>
      </w:r>
      <w:r>
        <w:rPr>
          <w:lang w:eastAsia="zh-CN"/>
        </w:rPr>
        <w:t>增强脱贫地区与群众内生发展动力</w:t>
      </w:r>
    </w:p>
    <w:p w14:paraId="2782FB19">
      <w:pPr>
        <w:ind w:firstLine="640"/>
        <w:rPr>
          <w:lang w:eastAsia="zh-CN"/>
        </w:rPr>
      </w:pPr>
      <w:r>
        <w:rPr>
          <w:lang w:eastAsia="zh-CN"/>
        </w:rPr>
        <w:t>坚持扶志与扶智相结合、输血与造血相并重，从产业、就业、能力提升维度增强脱贫地区和群众内生发展动力。立足本地资源做强花生、甘薯等特色帮扶产业，推动经营主体构建多元利益联结机制，带动脱贫群众共享产业增值收益。健全脱贫劳动力就业动态监测，深化跨区域劳务协作，合理开发公益性岗位，开展技能培训，拓宽就业增收路径。深入实施扶志扶智行动，培育本土产业带头人，抓实控辍保学，破除等靠要思想，阻断贫困代际传递。</w:t>
      </w:r>
    </w:p>
    <w:p w14:paraId="66E7BDA7">
      <w:pPr>
        <w:pStyle w:val="3"/>
        <w:ind w:firstLine="643"/>
        <w:rPr>
          <w:lang w:eastAsia="zh-CN"/>
        </w:rPr>
      </w:pPr>
      <w:r>
        <w:rPr>
          <w:rFonts w:hint="eastAsia"/>
          <w:lang w:eastAsia="zh-CN"/>
        </w:rPr>
        <w:t>（三十六）</w:t>
      </w:r>
      <w:r>
        <w:rPr>
          <w:lang w:eastAsia="zh-CN"/>
        </w:rPr>
        <w:t>强化重点区域帮扶与社会力量协同</w:t>
      </w:r>
    </w:p>
    <w:p w14:paraId="6363AC1F">
      <w:pPr>
        <w:ind w:firstLine="640"/>
        <w:rPr>
          <w:lang w:eastAsia="zh-CN"/>
        </w:rPr>
      </w:pPr>
      <w:r>
        <w:rPr>
          <w:lang w:eastAsia="zh-CN"/>
        </w:rPr>
        <w:t>聚焦脱贫村、重点帮扶村，统筹政府、市场、社会各类资源，构建多方协同、精准发力的帮扶格局。在项目、资金、政策上向重点区域倾斜，补齐基础设施短板，扶持特色产业发展。健全机关、国企、社会组织多元社会帮扶体系，引导企业投资兴业，搭建帮扶对接平台，落实信息公开机制，提升帮扶公信力。深化跨区域协作，融入重大区域发展战略，承接产业转移，共建产业载体，完善利益共享机制，推动要素集聚，实现优势互补、协同共富。</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091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01CF1627">
            <w:pPr>
              <w:spacing w:line="276" w:lineRule="auto"/>
              <w:ind w:firstLine="0" w:firstLineChars="0"/>
              <w:jc w:val="center"/>
              <w:rPr>
                <w:b/>
                <w:bCs/>
                <w:sz w:val="24"/>
                <w:szCs w:val="20"/>
                <w:lang w:eastAsia="zh-CN"/>
              </w:rPr>
            </w:pPr>
            <w:r>
              <w:rPr>
                <w:rFonts w:hint="eastAsia"/>
                <w:b/>
                <w:bCs/>
                <w:sz w:val="24"/>
                <w:szCs w:val="20"/>
                <w:lang w:eastAsia="zh-CN"/>
              </w:rPr>
              <w:t>专栏8：常态化帮扶重点项目</w:t>
            </w:r>
          </w:p>
        </w:tc>
      </w:tr>
      <w:tr w14:paraId="3FA6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8" w:type="dxa"/>
          </w:tcPr>
          <w:p w14:paraId="6C6B38D1">
            <w:pPr>
              <w:spacing w:line="276" w:lineRule="auto"/>
              <w:ind w:firstLine="0" w:firstLineChars="0"/>
              <w:rPr>
                <w:sz w:val="24"/>
                <w:szCs w:val="20"/>
                <w:lang w:eastAsia="zh-CN"/>
              </w:rPr>
            </w:pPr>
            <w:r>
              <w:rPr>
                <w:rFonts w:hint="eastAsia"/>
                <w:b/>
                <w:bCs/>
                <w:sz w:val="24"/>
                <w:szCs w:val="20"/>
                <w:lang w:eastAsia="zh-CN"/>
              </w:rPr>
              <w:t>1.开发式帮扶工程。</w:t>
            </w:r>
            <w:r>
              <w:rPr>
                <w:rFonts w:hint="eastAsia"/>
                <w:sz w:val="24"/>
                <w:szCs w:val="20"/>
                <w:lang w:eastAsia="zh-CN"/>
              </w:rPr>
              <w:t>通过产业帮扶、就业帮扶和技能培训，激发脱贫群众内生发展动力。</w:t>
            </w:r>
          </w:p>
          <w:p w14:paraId="686FA34D">
            <w:pPr>
              <w:spacing w:line="276" w:lineRule="auto"/>
              <w:ind w:firstLine="0" w:firstLineChars="0"/>
              <w:rPr>
                <w:color w:val="000000" w:themeColor="text1"/>
                <w:sz w:val="24"/>
                <w:szCs w:val="20"/>
                <w:lang w:eastAsia="zh-CN"/>
                <w14:textFill>
                  <w14:solidFill>
                    <w14:schemeClr w14:val="tx1"/>
                  </w14:solidFill>
                </w14:textFill>
              </w:rPr>
            </w:pPr>
            <w:r>
              <w:rPr>
                <w:b/>
                <w:bCs/>
                <w:color w:val="000000" w:themeColor="text1"/>
                <w:sz w:val="24"/>
                <w:szCs w:val="20"/>
                <w:lang w:eastAsia="zh-CN"/>
                <w14:textFill>
                  <w14:solidFill>
                    <w14:schemeClr w14:val="tx1"/>
                  </w14:solidFill>
                </w14:textFill>
              </w:rPr>
              <w:t>2.产业帮扶项目。</w:t>
            </w:r>
            <w:r>
              <w:rPr>
                <w:rFonts w:hint="eastAsia"/>
                <w:color w:val="000000" w:themeColor="text1"/>
                <w:sz w:val="24"/>
                <w:szCs w:val="20"/>
                <w:lang w:eastAsia="zh-CN"/>
                <w14:textFill>
                  <w14:solidFill>
                    <w14:schemeClr w14:val="tx1"/>
                  </w14:solidFill>
                </w14:textFill>
              </w:rPr>
              <w:t>阜新市清河门区河西镇河西村农产品产地冷藏保鲜库和分拣库项目、东梁镇现代农业三产融合示范园项目、彰武县甘薯产品仓储物流基地建设项目、老河土镇花生产品冷藏保鲜库建设项目、阜新镇皂力营子村现代设施农业综合体建设项目。</w:t>
            </w:r>
          </w:p>
          <w:p w14:paraId="1DD8B809">
            <w:pPr>
              <w:spacing w:line="276" w:lineRule="auto"/>
              <w:ind w:firstLine="0" w:firstLineChars="0"/>
              <w:rPr>
                <w:sz w:val="24"/>
                <w:szCs w:val="20"/>
                <w:lang w:eastAsia="zh-CN"/>
              </w:rPr>
            </w:pPr>
            <w:r>
              <w:rPr>
                <w:rFonts w:hint="eastAsia"/>
                <w:b/>
                <w:bCs/>
                <w:sz w:val="24"/>
                <w:szCs w:val="20"/>
                <w:lang w:eastAsia="zh-CN"/>
              </w:rPr>
              <w:t>3.能力提升项目。</w:t>
            </w:r>
            <w:r>
              <w:rPr>
                <w:rFonts w:hint="eastAsia"/>
                <w:sz w:val="24"/>
                <w:szCs w:val="20"/>
                <w:lang w:eastAsia="zh-CN"/>
              </w:rPr>
              <w:t>农村劳动力技能培训基地、脱贫家庭子女教育帮扶、新时代文明实践中心提质升级。</w:t>
            </w:r>
          </w:p>
          <w:p w14:paraId="1E18FCCD">
            <w:pPr>
              <w:spacing w:line="276" w:lineRule="auto"/>
              <w:ind w:firstLine="0" w:firstLineChars="0"/>
              <w:rPr>
                <w:sz w:val="24"/>
                <w:szCs w:val="20"/>
                <w:lang w:eastAsia="zh-CN"/>
              </w:rPr>
            </w:pPr>
            <w:r>
              <w:rPr>
                <w:b/>
                <w:bCs/>
                <w:sz w:val="24"/>
                <w:szCs w:val="20"/>
                <w:lang w:eastAsia="zh-CN"/>
              </w:rPr>
              <w:t>4.基础设施项目。</w:t>
            </w:r>
            <w:r>
              <w:rPr>
                <w:sz w:val="24"/>
                <w:szCs w:val="20"/>
                <w:lang w:eastAsia="zh-CN"/>
              </w:rPr>
              <w:t>严格按照年度省级专项资金投入方向，结合片区化发展，鼓励支持村内道路及防护、排水、公共照明等农村基础设施建设；鼓励支持农村人居环境类项目，重点支持农村垃圾收运、污水治理、生产废弃物</w:t>
            </w:r>
            <w:r>
              <w:rPr>
                <w:rFonts w:hint="eastAsia"/>
                <w:sz w:val="24"/>
                <w:szCs w:val="20"/>
                <w:lang w:eastAsia="zh-CN"/>
              </w:rPr>
              <w:t>资源</w:t>
            </w:r>
            <w:r>
              <w:rPr>
                <w:sz w:val="24"/>
                <w:szCs w:val="20"/>
                <w:lang w:eastAsia="zh-CN"/>
              </w:rPr>
              <w:t>化利用等领域项目建设。</w:t>
            </w:r>
          </w:p>
        </w:tc>
      </w:tr>
    </w:tbl>
    <w:p w14:paraId="040CF0BF">
      <w:pPr>
        <w:pStyle w:val="2"/>
        <w:ind w:firstLine="643"/>
        <w:rPr>
          <w:lang w:eastAsia="zh-CN"/>
        </w:rPr>
      </w:pPr>
      <w:r>
        <w:rPr>
          <w:lang w:eastAsia="zh-CN"/>
        </w:rPr>
        <w:t>九、进一步深化农村改革，激活城乡融合发展动能</w:t>
      </w:r>
    </w:p>
    <w:p w14:paraId="7F7C7C6A">
      <w:pPr>
        <w:ind w:firstLine="640"/>
        <w:rPr>
          <w:lang w:eastAsia="zh-CN"/>
        </w:rPr>
      </w:pPr>
      <w:r>
        <w:rPr>
          <w:lang w:eastAsia="zh-CN"/>
        </w:rPr>
        <w:t>以破解城乡二元结构、激活农村发展内生动力为核心，深化农村各类改革，完善经营制度与农业经营体系，发展壮大新型农村集体经济，推动城乡融合发展，破除体制机制障碍，激活城乡融合发展动能。</w:t>
      </w:r>
    </w:p>
    <w:p w14:paraId="65BDF514">
      <w:pPr>
        <w:pStyle w:val="3"/>
        <w:ind w:firstLine="643"/>
        <w:rPr>
          <w:lang w:eastAsia="zh-CN"/>
        </w:rPr>
      </w:pPr>
      <w:r>
        <w:rPr>
          <w:rFonts w:hint="eastAsia"/>
          <w:lang w:eastAsia="zh-CN"/>
        </w:rPr>
        <w:t>（三十七）</w:t>
      </w:r>
      <w:r>
        <w:rPr>
          <w:lang w:eastAsia="zh-CN"/>
        </w:rPr>
        <w:t>巩固和完善农村基本经营制度</w:t>
      </w:r>
    </w:p>
    <w:p w14:paraId="436FE2CC">
      <w:pPr>
        <w:ind w:firstLine="640"/>
        <w:rPr>
          <w:lang w:eastAsia="zh-CN"/>
        </w:rPr>
      </w:pPr>
      <w:r>
        <w:rPr>
          <w:lang w:eastAsia="zh-CN"/>
        </w:rPr>
        <w:t>坚持统分结合的双层经营体制，深化农村土地“三权分置”改革，构建全链条制度体系，夯实农业农村现代化制度根基。稳定土地承包关系，巩固确权登记颁证成果，健全流转风险防控与纠纷调解仲裁机制，保障农户土地权益。推进宅基地改革，</w:t>
      </w:r>
      <w:r>
        <w:rPr>
          <w:rFonts w:hint="eastAsia"/>
          <w:lang w:eastAsia="zh-CN"/>
        </w:rPr>
        <w:t>因地制宜</w:t>
      </w:r>
      <w:r>
        <w:rPr>
          <w:lang w:eastAsia="zh-CN"/>
        </w:rPr>
        <w:t>盘活</w:t>
      </w:r>
      <w:r>
        <w:rPr>
          <w:rFonts w:hint="eastAsia"/>
          <w:lang w:eastAsia="zh-CN"/>
        </w:rPr>
        <w:t>农村</w:t>
      </w:r>
      <w:r>
        <w:rPr>
          <w:lang w:eastAsia="zh-CN"/>
        </w:rPr>
        <w:t>闲置</w:t>
      </w:r>
      <w:r>
        <w:rPr>
          <w:rFonts w:hint="eastAsia"/>
          <w:lang w:eastAsia="zh-CN"/>
        </w:rPr>
        <w:t>房屋</w:t>
      </w:r>
      <w:r>
        <w:rPr>
          <w:lang w:eastAsia="zh-CN"/>
        </w:rPr>
        <w:t>。稳妥实施集体经营性建设用地入市改革，完善交易与收益分配机制，强化规划管控，严守耕地保护底线，遏制耕地“非农化”、防止“非粮化”，激活农村土地要素活力。</w:t>
      </w:r>
    </w:p>
    <w:p w14:paraId="365C807B">
      <w:pPr>
        <w:pStyle w:val="3"/>
        <w:ind w:firstLine="643"/>
        <w:rPr>
          <w:lang w:eastAsia="zh-CN"/>
        </w:rPr>
      </w:pPr>
      <w:r>
        <w:rPr>
          <w:rFonts w:hint="eastAsia"/>
          <w:lang w:eastAsia="zh-CN"/>
        </w:rPr>
        <w:t>（三十八）</w:t>
      </w:r>
      <w:r>
        <w:rPr>
          <w:lang w:eastAsia="zh-CN"/>
        </w:rPr>
        <w:t>发展壮大新型农村集体经济</w:t>
      </w:r>
    </w:p>
    <w:p w14:paraId="15B9B665">
      <w:pPr>
        <w:ind w:firstLine="640"/>
        <w:rPr>
          <w:lang w:eastAsia="zh-CN"/>
        </w:rPr>
      </w:pPr>
      <w:r>
        <w:rPr>
          <w:lang w:eastAsia="zh-CN"/>
        </w:rPr>
        <w:t>深化农村集体产权制度改革，规范农村集体资金、资产、资源管理。盘活农村集体资产资源，因地制宜发展物业经济、服务经济、资源经济。支持村集体经济组织领办合作社、兴办企业，健全集体资产监管与收益分配机制，推动集体经济薄弱村提升、强村更强</w:t>
      </w:r>
      <w:r>
        <w:rPr>
          <w:rFonts w:hint="eastAsia"/>
          <w:lang w:eastAsia="zh-CN"/>
        </w:rPr>
        <w:t>，实现</w:t>
      </w:r>
      <w:r>
        <w:rPr>
          <w:lang w:eastAsia="zh-CN"/>
        </w:rPr>
        <w:t>行政村集体经济收入稳步增长，保障农户共享发展收益，夯实共同富裕的集体经济根基。</w:t>
      </w:r>
    </w:p>
    <w:p w14:paraId="1096EDA7">
      <w:pPr>
        <w:pStyle w:val="3"/>
        <w:ind w:firstLine="643"/>
        <w:rPr>
          <w:lang w:eastAsia="zh-CN"/>
        </w:rPr>
      </w:pPr>
      <w:r>
        <w:rPr>
          <w:rFonts w:hint="eastAsia"/>
          <w:lang w:eastAsia="zh-CN"/>
        </w:rPr>
        <w:t>（三十九）</w:t>
      </w:r>
      <w:r>
        <w:rPr>
          <w:lang w:eastAsia="zh-CN"/>
        </w:rPr>
        <w:t>构建现代农业经营体系</w:t>
      </w:r>
    </w:p>
    <w:p w14:paraId="0927D28C">
      <w:pPr>
        <w:ind w:firstLine="640"/>
        <w:rPr>
          <w:lang w:eastAsia="zh-CN"/>
        </w:rPr>
      </w:pPr>
      <w:r>
        <w:rPr>
          <w:lang w:eastAsia="zh-CN"/>
        </w:rPr>
        <w:t>以培育壮大新型农业经营主体为抓手，构建家庭农场为基础、合作社为纽带、龙头企业为骨干、社会化服务为支撑的现代农业经营体系。梯次培育示范家庭农场，强化农民专业合作社规范化建设，围绕主导产业培优做强农业产业化龙头企业。健全多元主体参与的农业社会化服务网络，大力发展生产托管等全链条服务。创新多元利益联结模式，推动小农户深度融入产业链，分享产业增值收益，全面提升农业经营规模化、标准化、集约化、品牌化水平。</w:t>
      </w:r>
    </w:p>
    <w:p w14:paraId="57C50526">
      <w:pPr>
        <w:pStyle w:val="3"/>
        <w:ind w:firstLine="643"/>
        <w:rPr>
          <w:lang w:eastAsia="zh-CN"/>
        </w:rPr>
      </w:pPr>
      <w:r>
        <w:rPr>
          <w:rFonts w:hint="eastAsia"/>
          <w:lang w:eastAsia="zh-CN"/>
        </w:rPr>
        <w:t>（四十）</w:t>
      </w:r>
      <w:r>
        <w:rPr>
          <w:lang w:eastAsia="zh-CN"/>
        </w:rPr>
        <w:t>促进城乡要素双向流动</w:t>
      </w:r>
    </w:p>
    <w:p w14:paraId="3C6356CD">
      <w:pPr>
        <w:ind w:firstLine="640"/>
        <w:rPr>
          <w:lang w:eastAsia="zh-CN"/>
        </w:rPr>
      </w:pPr>
      <w:r>
        <w:rPr>
          <w:lang w:eastAsia="zh-CN"/>
        </w:rPr>
        <w:t>实施人才回引</w:t>
      </w:r>
      <w:r>
        <w:rPr>
          <w:rFonts w:hint="eastAsia"/>
          <w:lang w:eastAsia="zh-CN"/>
        </w:rPr>
        <w:t>与本土培育</w:t>
      </w:r>
      <w:r>
        <w:rPr>
          <w:lang w:eastAsia="zh-CN"/>
        </w:rPr>
        <w:t>计划，推进土地要素市场化配置改革，完善集体经营性建设用地入市制度，规范土地征收管理。健全农村金融服务体系，创新金融保险产品，缓解经营主体融资难题。深化产学研协同，推动农业科技成果落地转化，搭建数字化农业服务平台，全面激活农村发展内生活力</w:t>
      </w:r>
      <w:r>
        <w:rPr>
          <w:rFonts w:hint="eastAsia"/>
          <w:lang w:eastAsia="zh-CN"/>
        </w:rPr>
        <w:t>。</w:t>
      </w:r>
    </w:p>
    <w:p w14:paraId="4A05C1B3">
      <w:pPr>
        <w:pStyle w:val="2"/>
        <w:ind w:firstLine="643"/>
        <w:rPr>
          <w:lang w:eastAsia="zh-CN"/>
        </w:rPr>
      </w:pPr>
      <w:r>
        <w:rPr>
          <w:lang w:eastAsia="zh-CN"/>
        </w:rPr>
        <w:t>十、强化规划实施保障，确保蓝图落地见效</w:t>
      </w:r>
    </w:p>
    <w:p w14:paraId="59E4D7F4">
      <w:pPr>
        <w:ind w:firstLine="640"/>
        <w:rPr>
          <w:lang w:eastAsia="zh-CN"/>
        </w:rPr>
      </w:pPr>
      <w:r>
        <w:rPr>
          <w:lang w:eastAsia="zh-CN"/>
        </w:rPr>
        <w:t>加强党对“三农”工作的全面领导，健全规划实施机制，强化投入、人才保障与监测评估，凝聚各方合力，确保规划蓝图落地见效。</w:t>
      </w:r>
    </w:p>
    <w:p w14:paraId="3B3D8302">
      <w:pPr>
        <w:pStyle w:val="3"/>
        <w:ind w:firstLine="643"/>
        <w:rPr>
          <w:lang w:eastAsia="zh-CN"/>
        </w:rPr>
      </w:pPr>
      <w:r>
        <w:rPr>
          <w:rFonts w:hint="eastAsia"/>
          <w:lang w:eastAsia="zh-CN"/>
        </w:rPr>
        <w:t>（四十一）</w:t>
      </w:r>
      <w:r>
        <w:rPr>
          <w:lang w:eastAsia="zh-CN"/>
        </w:rPr>
        <w:t>加强党的全面领导</w:t>
      </w:r>
    </w:p>
    <w:p w14:paraId="41D7B5A0">
      <w:pPr>
        <w:ind w:firstLine="640"/>
        <w:rPr>
          <w:lang w:eastAsia="zh-CN"/>
        </w:rPr>
      </w:pPr>
      <w:r>
        <w:rPr>
          <w:lang w:eastAsia="zh-CN"/>
        </w:rPr>
        <w:t>健全党委领导、政府负责、部门牵头、各方参与的工作格局，全面落实五级书记抓乡村振兴，压实县委书记“一线总指挥”责任，选优配强村“两委”班子，发挥农村基层党组织引领作用。强化农业农村工作议事协调机构作用，形成上下贯通、一抓到底的工作体系，把党的领导贯穿规划实施全过程。</w:t>
      </w:r>
    </w:p>
    <w:p w14:paraId="0B5F830F">
      <w:pPr>
        <w:pStyle w:val="3"/>
        <w:ind w:firstLine="643"/>
      </w:pPr>
      <w:r>
        <w:rPr>
          <w:rFonts w:hint="eastAsia"/>
          <w:lang w:eastAsia="zh-CN"/>
        </w:rPr>
        <w:t>（四十二）</w:t>
      </w:r>
      <w:r>
        <w:t>健全多元投入保障</w:t>
      </w:r>
    </w:p>
    <w:p w14:paraId="6A33984F">
      <w:pPr>
        <w:ind w:firstLine="640"/>
        <w:rPr>
          <w:lang w:eastAsia="zh-CN"/>
        </w:rPr>
      </w:pPr>
      <w:r>
        <w:rPr>
          <w:lang w:eastAsia="zh-CN"/>
        </w:rPr>
        <w:t>建立财政投入稳定增长机制，整合涉农资金，落实土地出让收益用于农业农村比例要求。扩大“兴阜担”担保与产业链金融，完善农业保险。制定招商目录，推广PPP模式撬动社会资本，引导金融和社会资本更多投向农业农村重点领域和薄弱环节，形成财政优先保障、金融重点倾斜、社会积极参与的多元投入格局。</w:t>
      </w:r>
    </w:p>
    <w:p w14:paraId="586701F0">
      <w:pPr>
        <w:pStyle w:val="3"/>
        <w:ind w:firstLine="643"/>
        <w:rPr>
          <w:lang w:eastAsia="zh-CN"/>
        </w:rPr>
      </w:pPr>
      <w:r>
        <w:rPr>
          <w:rFonts w:hint="eastAsia"/>
          <w:lang w:eastAsia="zh-CN"/>
        </w:rPr>
        <w:t>（四十三）</w:t>
      </w:r>
      <w:r>
        <w:rPr>
          <w:lang w:eastAsia="zh-CN"/>
        </w:rPr>
        <w:t>实施人才强农战略</w:t>
      </w:r>
    </w:p>
    <w:p w14:paraId="02C23BF8">
      <w:pPr>
        <w:ind w:firstLine="640"/>
        <w:rPr>
          <w:lang w:eastAsia="zh-CN"/>
        </w:rPr>
      </w:pPr>
      <w:r>
        <w:rPr>
          <w:lang w:eastAsia="zh-CN"/>
        </w:rPr>
        <w:t>实施高素质农民培育与乡村工匠行动，选拔“头雁”带头人，培育农村实用人才与乡土专家。将种业、加工、数字农业人才纳入引才计划，完善评价激励与创业孵化服务。建立城市人才定期下乡服务机制，引导各类人才返乡入乡创新创业，破解乡村人才短缺瓶颈。</w:t>
      </w:r>
    </w:p>
    <w:p w14:paraId="70833C28">
      <w:pPr>
        <w:pStyle w:val="3"/>
        <w:ind w:firstLine="643"/>
        <w:rPr>
          <w:lang w:eastAsia="zh-CN"/>
        </w:rPr>
      </w:pPr>
      <w:r>
        <w:rPr>
          <w:rFonts w:hint="eastAsia"/>
          <w:lang w:eastAsia="zh-CN"/>
        </w:rPr>
        <w:t>（四十四）</w:t>
      </w:r>
      <w:r>
        <w:rPr>
          <w:lang w:eastAsia="zh-CN"/>
        </w:rPr>
        <w:t>完善监测评估机制</w:t>
      </w:r>
    </w:p>
    <w:p w14:paraId="75A7CB08">
      <w:pPr>
        <w:ind w:firstLine="640"/>
        <w:rPr>
          <w:lang w:eastAsia="zh-CN"/>
        </w:rPr>
      </w:pPr>
      <w:r>
        <w:rPr>
          <w:lang w:eastAsia="zh-CN"/>
        </w:rPr>
        <w:t>围绕粮食、产业、生态、乡村、增收构建监测指标体系，实行年度、中期、期末评估，强化结果运用与动态调整。建立规划实施督促检查与考核机制，将重点任务完成情况纳入相关考核，主动接受社会监督，确保一张蓝图绘到底。</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等线">
    <w:altName w:val="仿宋_GB2312"/>
    <w:panose1 w:val="00000000000000000000"/>
    <w:charset w:val="86"/>
    <w:family w:val="auto"/>
    <w:pitch w:val="default"/>
    <w:sig w:usb0="00000000" w:usb1="00000000" w:usb2="00000000" w:usb3="00000000" w:csb0="00000000" w:csb1="00000000"/>
  </w:font>
  <w:font w:name="等线">
    <w:altName w:val="C059"/>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Microsoft JhengHei Light">
    <w:altName w:val="C059"/>
    <w:panose1 w:val="020B0304030504040204"/>
    <w:charset w:val="88"/>
    <w:family w:val="swiss"/>
    <w:pitch w:val="default"/>
    <w:sig w:usb0="00000000" w:usb1="00000000" w:usb2="00000016" w:usb3="00000000" w:csb0="00100009" w:csb1="00000000"/>
  </w:font>
  <w:font w:name="C059">
    <w:panose1 w:val="00000500000000000000"/>
    <w:charset w:val="00"/>
    <w:family w:val="auto"/>
    <w:pitch w:val="default"/>
    <w:sig w:usb0="00000287" w:usb1="00000800" w:usb2="00000000" w:usb3="00000000" w:csb0="6000009F" w:csb1="00000000"/>
  </w:font>
  <w:font w:name="楷体_GB2312">
    <w:panose1 w:val="02010609030101010101"/>
    <w:charset w:val="86"/>
    <w:family w:val="modern"/>
    <w:pitch w:val="default"/>
    <w:sig w:usb0="00000001" w:usb1="080E0000" w:usb2="00000000" w:usb3="00000000" w:csb0="00040000" w:csb1="00000000"/>
  </w:font>
  <w:font w:name="等线 Light">
    <w:altName w:val="华文仿宋"/>
    <w:panose1 w:val="02010600030101010101"/>
    <w:charset w:val="86"/>
    <w:family w:val="auto"/>
    <w:pitch w:val="default"/>
    <w:sig w:usb0="00000000" w:usb1="00000000" w:usb2="00000016" w:usb3="00000000" w:csb0="0004000F" w:csb1="00000000"/>
  </w:font>
  <w:font w:name="方正小标宋简体">
    <w:panose1 w:val="02000000000000000000"/>
    <w:charset w:val="86"/>
    <w:family w:val="script"/>
    <w:pitch w:val="default"/>
    <w:sig w:usb0="A00002BF" w:usb1="184F6CFA" w:usb2="00000012" w:usb3="00000000" w:csb0="00040001" w:csb1="00000000"/>
  </w:font>
  <w:font w:name="MingLiU">
    <w:altName w:val="C059"/>
    <w:panose1 w:val="02010609000101010101"/>
    <w:charset w:val="88"/>
    <w:family w:val="modern"/>
    <w:pitch w:val="default"/>
    <w:sig w:usb0="00000000" w:usb1="00000000" w:usb2="00000016" w:usb3="00000000" w:csb0="0010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方正仿宋_GBK">
    <w:panose1 w:val="02000000000000000000"/>
    <w:charset w:val="86"/>
    <w:family w:val="auto"/>
    <w:pitch w:val="default"/>
    <w:sig w:usb0="00000001" w:usb1="08000000" w:usb2="00000000" w:usb3="00000000" w:csb0="00040000" w:csb1="00000000"/>
  </w:font>
  <w:font w:name="等线 Light">
    <w:altName w:val="C059"/>
    <w:panose1 w:val="00000000000000000000"/>
    <w:charset w:val="00"/>
    <w:family w:val="auto"/>
    <w:pitch w:val="default"/>
    <w:sig w:usb0="00000000" w:usb1="00000000" w:usb2="00000000" w:usb3="00000000" w:csb0="0000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2225819"/>
      <w:docPartObj>
        <w:docPartGallery w:val="autotext"/>
      </w:docPartObj>
    </w:sdtPr>
    <w:sdtContent>
      <w:p w14:paraId="0EE5A535">
        <w:pPr>
          <w:pStyle w:val="12"/>
          <w:ind w:firstLine="360"/>
          <w:jc w:val="center"/>
        </w:pPr>
        <w:r>
          <w:fldChar w:fldCharType="begin"/>
        </w:r>
        <w:r>
          <w:instrText xml:space="preserve">PAGE   \* MERGEFORMAT</w:instrText>
        </w:r>
        <w:r>
          <w:fldChar w:fldCharType="separate"/>
        </w:r>
        <w:r>
          <w:rPr>
            <w:lang w:val="zh-CN" w:eastAsia="zh-CN"/>
          </w:rPr>
          <w:t>2</w:t>
        </w:r>
        <w:r>
          <w:fldChar w:fldCharType="end"/>
        </w:r>
      </w:p>
    </w:sdtContent>
  </w:sdt>
  <w:p w14:paraId="1AFF8E17">
    <w:pPr>
      <w:pStyle w:val="1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6392F">
    <w:pPr>
      <w:pStyle w:val="1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5F9BA">
    <w:pPr>
      <w:pStyle w:val="12"/>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FA05">
    <w:pPr>
      <w:pStyle w:val="1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DE374">
    <w:pPr>
      <w:pStyle w:val="1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2FADA">
    <w:pPr>
      <w:pStyle w:val="13"/>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83"/>
    <w:rsid w:val="00010139"/>
    <w:rsid w:val="00021AD4"/>
    <w:rsid w:val="00022FB6"/>
    <w:rsid w:val="0002667B"/>
    <w:rsid w:val="000356FB"/>
    <w:rsid w:val="00037474"/>
    <w:rsid w:val="000579D1"/>
    <w:rsid w:val="00082ED9"/>
    <w:rsid w:val="00082FF0"/>
    <w:rsid w:val="00094409"/>
    <w:rsid w:val="00094935"/>
    <w:rsid w:val="000A30B1"/>
    <w:rsid w:val="000C2A50"/>
    <w:rsid w:val="000D51A3"/>
    <w:rsid w:val="000E6A62"/>
    <w:rsid w:val="000F4696"/>
    <w:rsid w:val="0014118F"/>
    <w:rsid w:val="00151DC6"/>
    <w:rsid w:val="001640C1"/>
    <w:rsid w:val="00165FCB"/>
    <w:rsid w:val="00167A48"/>
    <w:rsid w:val="0019447C"/>
    <w:rsid w:val="001958C7"/>
    <w:rsid w:val="001971FE"/>
    <w:rsid w:val="001A28A8"/>
    <w:rsid w:val="001C0D79"/>
    <w:rsid w:val="001F59CF"/>
    <w:rsid w:val="00200751"/>
    <w:rsid w:val="00200CA0"/>
    <w:rsid w:val="002076E8"/>
    <w:rsid w:val="00214F73"/>
    <w:rsid w:val="002172BE"/>
    <w:rsid w:val="00240533"/>
    <w:rsid w:val="002437BC"/>
    <w:rsid w:val="00244923"/>
    <w:rsid w:val="0025747E"/>
    <w:rsid w:val="002A3851"/>
    <w:rsid w:val="002B2282"/>
    <w:rsid w:val="002C478C"/>
    <w:rsid w:val="002C5572"/>
    <w:rsid w:val="002C5F42"/>
    <w:rsid w:val="002E5693"/>
    <w:rsid w:val="002F2CB7"/>
    <w:rsid w:val="002F4711"/>
    <w:rsid w:val="00303264"/>
    <w:rsid w:val="003058E5"/>
    <w:rsid w:val="00314AE8"/>
    <w:rsid w:val="00321BA9"/>
    <w:rsid w:val="00333A69"/>
    <w:rsid w:val="00341555"/>
    <w:rsid w:val="00351402"/>
    <w:rsid w:val="00357A81"/>
    <w:rsid w:val="003607A8"/>
    <w:rsid w:val="003661A2"/>
    <w:rsid w:val="00384F13"/>
    <w:rsid w:val="00387C9B"/>
    <w:rsid w:val="003A2618"/>
    <w:rsid w:val="00424A86"/>
    <w:rsid w:val="00467EA9"/>
    <w:rsid w:val="00476935"/>
    <w:rsid w:val="004843EB"/>
    <w:rsid w:val="004A76B0"/>
    <w:rsid w:val="004C12DA"/>
    <w:rsid w:val="004D216A"/>
    <w:rsid w:val="004D4225"/>
    <w:rsid w:val="004E0A18"/>
    <w:rsid w:val="004E3CA6"/>
    <w:rsid w:val="004E48AB"/>
    <w:rsid w:val="004F3CB0"/>
    <w:rsid w:val="00502D72"/>
    <w:rsid w:val="005036D4"/>
    <w:rsid w:val="00530F8A"/>
    <w:rsid w:val="00591CC7"/>
    <w:rsid w:val="005A6CBB"/>
    <w:rsid w:val="005C15F7"/>
    <w:rsid w:val="005D0DE8"/>
    <w:rsid w:val="005E261C"/>
    <w:rsid w:val="005E2AEA"/>
    <w:rsid w:val="005E5183"/>
    <w:rsid w:val="005F7B16"/>
    <w:rsid w:val="00600533"/>
    <w:rsid w:val="00605D56"/>
    <w:rsid w:val="00607954"/>
    <w:rsid w:val="00624B2A"/>
    <w:rsid w:val="0063225F"/>
    <w:rsid w:val="00634B2F"/>
    <w:rsid w:val="006469B6"/>
    <w:rsid w:val="006557CC"/>
    <w:rsid w:val="00676ED5"/>
    <w:rsid w:val="006A75BD"/>
    <w:rsid w:val="006B27F1"/>
    <w:rsid w:val="006C6F97"/>
    <w:rsid w:val="006C7F21"/>
    <w:rsid w:val="006D548A"/>
    <w:rsid w:val="006E5881"/>
    <w:rsid w:val="00726F2E"/>
    <w:rsid w:val="0073626E"/>
    <w:rsid w:val="007444EF"/>
    <w:rsid w:val="0074697A"/>
    <w:rsid w:val="00750849"/>
    <w:rsid w:val="00767CFB"/>
    <w:rsid w:val="00773765"/>
    <w:rsid w:val="00774EE8"/>
    <w:rsid w:val="00783764"/>
    <w:rsid w:val="00786F0E"/>
    <w:rsid w:val="007A17EC"/>
    <w:rsid w:val="007B457B"/>
    <w:rsid w:val="007C3388"/>
    <w:rsid w:val="007C4844"/>
    <w:rsid w:val="007D1158"/>
    <w:rsid w:val="007D6521"/>
    <w:rsid w:val="0080141C"/>
    <w:rsid w:val="00803A95"/>
    <w:rsid w:val="00811615"/>
    <w:rsid w:val="00815B3A"/>
    <w:rsid w:val="008178E7"/>
    <w:rsid w:val="008321A9"/>
    <w:rsid w:val="00832411"/>
    <w:rsid w:val="00855B52"/>
    <w:rsid w:val="0086256A"/>
    <w:rsid w:val="00883E47"/>
    <w:rsid w:val="00887288"/>
    <w:rsid w:val="008A3313"/>
    <w:rsid w:val="008A3CDE"/>
    <w:rsid w:val="008D3172"/>
    <w:rsid w:val="008E1C97"/>
    <w:rsid w:val="008E2E91"/>
    <w:rsid w:val="008F0557"/>
    <w:rsid w:val="008F5644"/>
    <w:rsid w:val="0090714C"/>
    <w:rsid w:val="00907C0D"/>
    <w:rsid w:val="009108D1"/>
    <w:rsid w:val="0091550C"/>
    <w:rsid w:val="00927D2D"/>
    <w:rsid w:val="00945C3E"/>
    <w:rsid w:val="00953C92"/>
    <w:rsid w:val="00954EAE"/>
    <w:rsid w:val="00960982"/>
    <w:rsid w:val="0097289A"/>
    <w:rsid w:val="00976D21"/>
    <w:rsid w:val="0098071B"/>
    <w:rsid w:val="00980F40"/>
    <w:rsid w:val="0098743A"/>
    <w:rsid w:val="009A730F"/>
    <w:rsid w:val="009B6201"/>
    <w:rsid w:val="009C0D5B"/>
    <w:rsid w:val="009C2C68"/>
    <w:rsid w:val="009E361F"/>
    <w:rsid w:val="00A24AF5"/>
    <w:rsid w:val="00A33C45"/>
    <w:rsid w:val="00A34176"/>
    <w:rsid w:val="00A575F9"/>
    <w:rsid w:val="00A67009"/>
    <w:rsid w:val="00A828B4"/>
    <w:rsid w:val="00A84334"/>
    <w:rsid w:val="00AA7392"/>
    <w:rsid w:val="00AB0556"/>
    <w:rsid w:val="00AB17ED"/>
    <w:rsid w:val="00AB5BD9"/>
    <w:rsid w:val="00AB6899"/>
    <w:rsid w:val="00AC6462"/>
    <w:rsid w:val="00AD4045"/>
    <w:rsid w:val="00AD544C"/>
    <w:rsid w:val="00B0195A"/>
    <w:rsid w:val="00B17494"/>
    <w:rsid w:val="00B179A7"/>
    <w:rsid w:val="00B33CC4"/>
    <w:rsid w:val="00B56296"/>
    <w:rsid w:val="00B63C22"/>
    <w:rsid w:val="00B778EC"/>
    <w:rsid w:val="00BA1F76"/>
    <w:rsid w:val="00BA625A"/>
    <w:rsid w:val="00BB7149"/>
    <w:rsid w:val="00BD4174"/>
    <w:rsid w:val="00C07CB6"/>
    <w:rsid w:val="00C24354"/>
    <w:rsid w:val="00C255F1"/>
    <w:rsid w:val="00C32453"/>
    <w:rsid w:val="00C44F8A"/>
    <w:rsid w:val="00C5228E"/>
    <w:rsid w:val="00C52D05"/>
    <w:rsid w:val="00C53994"/>
    <w:rsid w:val="00C60F43"/>
    <w:rsid w:val="00C66BF0"/>
    <w:rsid w:val="00C81062"/>
    <w:rsid w:val="00C86845"/>
    <w:rsid w:val="00CA43C6"/>
    <w:rsid w:val="00CC667A"/>
    <w:rsid w:val="00CD18D6"/>
    <w:rsid w:val="00CD3074"/>
    <w:rsid w:val="00CD7BBE"/>
    <w:rsid w:val="00D056B0"/>
    <w:rsid w:val="00D10202"/>
    <w:rsid w:val="00D14EC7"/>
    <w:rsid w:val="00D1748F"/>
    <w:rsid w:val="00D22026"/>
    <w:rsid w:val="00D3267A"/>
    <w:rsid w:val="00D64D5B"/>
    <w:rsid w:val="00D74F39"/>
    <w:rsid w:val="00D75FD0"/>
    <w:rsid w:val="00D77693"/>
    <w:rsid w:val="00D93E64"/>
    <w:rsid w:val="00DC51F2"/>
    <w:rsid w:val="00DD1EA0"/>
    <w:rsid w:val="00DE6F57"/>
    <w:rsid w:val="00E05A1F"/>
    <w:rsid w:val="00E07DE3"/>
    <w:rsid w:val="00E152DB"/>
    <w:rsid w:val="00E21B46"/>
    <w:rsid w:val="00E271BF"/>
    <w:rsid w:val="00E40569"/>
    <w:rsid w:val="00E44710"/>
    <w:rsid w:val="00E47B82"/>
    <w:rsid w:val="00E50F51"/>
    <w:rsid w:val="00E6074D"/>
    <w:rsid w:val="00E7681B"/>
    <w:rsid w:val="00E77FC9"/>
    <w:rsid w:val="00E82E60"/>
    <w:rsid w:val="00E91AD1"/>
    <w:rsid w:val="00EA3C11"/>
    <w:rsid w:val="00EC6CCC"/>
    <w:rsid w:val="00EC6FD3"/>
    <w:rsid w:val="00EF0234"/>
    <w:rsid w:val="00F05BEC"/>
    <w:rsid w:val="00F06C5C"/>
    <w:rsid w:val="00F10B1E"/>
    <w:rsid w:val="00F12120"/>
    <w:rsid w:val="00F15373"/>
    <w:rsid w:val="00F16D1C"/>
    <w:rsid w:val="00F222E3"/>
    <w:rsid w:val="00F2728E"/>
    <w:rsid w:val="00F47216"/>
    <w:rsid w:val="00F5503A"/>
    <w:rsid w:val="00F570EB"/>
    <w:rsid w:val="00F57939"/>
    <w:rsid w:val="00F6009C"/>
    <w:rsid w:val="00F6112D"/>
    <w:rsid w:val="00F83259"/>
    <w:rsid w:val="00F976CB"/>
    <w:rsid w:val="00FA32F2"/>
    <w:rsid w:val="00FB5B0D"/>
    <w:rsid w:val="00FC4618"/>
    <w:rsid w:val="00FD2DBF"/>
    <w:rsid w:val="00FE3D56"/>
    <w:rsid w:val="00FF6B6C"/>
    <w:rsid w:val="0EDA08B6"/>
    <w:rsid w:val="177F05F5"/>
    <w:rsid w:val="33BBDE29"/>
    <w:rsid w:val="3ED71BE6"/>
    <w:rsid w:val="3EFBF7C8"/>
    <w:rsid w:val="4F637209"/>
    <w:rsid w:val="4FF51F16"/>
    <w:rsid w:val="62FFFD7E"/>
    <w:rsid w:val="67EF2BB8"/>
    <w:rsid w:val="6FFF7661"/>
    <w:rsid w:val="7A1E14E0"/>
    <w:rsid w:val="7A7E9687"/>
    <w:rsid w:val="7C793895"/>
    <w:rsid w:val="7F7FFCDF"/>
    <w:rsid w:val="B57BCC07"/>
    <w:rsid w:val="DF7F04AC"/>
    <w:rsid w:val="EFB666DB"/>
    <w:rsid w:val="FD5E6DAE"/>
    <w:rsid w:val="FF7DFD47"/>
    <w:rsid w:val="FF7FA2BE"/>
    <w:rsid w:val="FF9E7C1A"/>
    <w:rsid w:val="FFADC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imes New Roman" w:hAnsi="Times New Roman" w:eastAsia="仿宋_GB2312" w:cs="Microsoft JhengHei Light"/>
      <w:color w:val="000000"/>
      <w:sz w:val="32"/>
      <w:szCs w:val="24"/>
      <w:lang w:val="en-US" w:eastAsia="en-US" w:bidi="en-US"/>
    </w:rPr>
  </w:style>
  <w:style w:type="paragraph" w:styleId="2">
    <w:name w:val="heading 1"/>
    <w:basedOn w:val="1"/>
    <w:next w:val="1"/>
    <w:link w:val="22"/>
    <w:qFormat/>
    <w:uiPriority w:val="9"/>
    <w:pPr>
      <w:keepNext/>
      <w:keepLines/>
      <w:outlineLvl w:val="0"/>
    </w:pPr>
    <w:rPr>
      <w:rFonts w:eastAsia="黑体" w:cstheme="majorBidi"/>
      <w:b/>
      <w:color w:val="000000" w:themeColor="text1"/>
      <w:szCs w:val="48"/>
      <w14:textFill>
        <w14:solidFill>
          <w14:schemeClr w14:val="tx1"/>
        </w14:solidFill>
      </w14:textFill>
    </w:rPr>
  </w:style>
  <w:style w:type="paragraph" w:styleId="3">
    <w:name w:val="heading 2"/>
    <w:basedOn w:val="1"/>
    <w:next w:val="1"/>
    <w:link w:val="21"/>
    <w:unhideWhenUsed/>
    <w:qFormat/>
    <w:uiPriority w:val="9"/>
    <w:pPr>
      <w:keepNext/>
      <w:keepLines/>
      <w:ind w:firstLine="0" w:firstLineChars="0"/>
      <w:jc w:val="left"/>
      <w:outlineLvl w:val="1"/>
    </w:pPr>
    <w:rPr>
      <w:rFonts w:ascii="楷体_GB2312" w:eastAsia="楷体_GB2312" w:cstheme="majorBidi"/>
      <w:b/>
      <w:color w:val="000000" w:themeColor="text1"/>
      <w:szCs w:val="40"/>
      <w14:textFill>
        <w14:solidFill>
          <w14:schemeClr w14:val="tx1"/>
        </w14:solidFill>
      </w14:textFill>
    </w:rPr>
  </w:style>
  <w:style w:type="paragraph" w:styleId="4">
    <w:name w:val="heading 3"/>
    <w:basedOn w:val="1"/>
    <w:next w:val="1"/>
    <w:link w:val="24"/>
    <w:unhideWhenUsed/>
    <w:qFormat/>
    <w:uiPriority w:val="9"/>
    <w:pPr>
      <w:keepNext/>
      <w:keepLines/>
      <w:outlineLvl w:val="2"/>
    </w:pPr>
    <w:rPr>
      <w:rFonts w:cstheme="majorBidi"/>
      <w:b/>
      <w:color w:val="000000" w:themeColor="text1"/>
      <w:szCs w:val="32"/>
      <w14:textFill>
        <w14:solidFill>
          <w14:schemeClr w14:val="tx1"/>
        </w14:solidFill>
      </w14:textFill>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inorEastAsia" w:cstheme="majorBidi"/>
      <w:color w:val="2F5597"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inorEastAsia" w:cstheme="majorBidi"/>
      <w:color w:val="2F5597" w:themeColor="accent1" w:themeShade="BF"/>
      <w:sz w:val="24"/>
    </w:rPr>
  </w:style>
  <w:style w:type="paragraph" w:styleId="7">
    <w:name w:val="heading 6"/>
    <w:basedOn w:val="1"/>
    <w:next w:val="1"/>
    <w:link w:val="27"/>
    <w:semiHidden/>
    <w:unhideWhenUsed/>
    <w:qFormat/>
    <w:uiPriority w:val="9"/>
    <w:pPr>
      <w:keepNext/>
      <w:keepLines/>
      <w:spacing w:before="40"/>
      <w:outlineLvl w:val="5"/>
    </w:pPr>
    <w:rPr>
      <w:rFonts w:asciiTheme="minorHAnsi" w:hAnsiTheme="minorHAnsi" w:eastAsiaTheme="minorEastAsia" w:cstheme="majorBidi"/>
      <w:b/>
      <w:bCs/>
      <w:color w:val="2F5597" w:themeColor="accent1" w:themeShade="BF"/>
    </w:rPr>
  </w:style>
  <w:style w:type="paragraph" w:styleId="8">
    <w:name w:val="heading 7"/>
    <w:basedOn w:val="1"/>
    <w:next w:val="1"/>
    <w:link w:val="28"/>
    <w:semiHidden/>
    <w:unhideWhenUsed/>
    <w:qFormat/>
    <w:uiPriority w:val="9"/>
    <w:pPr>
      <w:keepNext/>
      <w:keepLines/>
      <w:spacing w:before="40"/>
      <w:outlineLvl w:val="6"/>
    </w:pPr>
    <w:rPr>
      <w:rFonts w:asciiTheme="minorHAnsi" w:hAnsiTheme="minorHAnsi" w:eastAsiaTheme="minorEastAsia"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asciiTheme="minorHAnsi" w:hAnsiTheme="minorHAnsi" w:eastAsiaTheme="minorEastAsia"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47"/>
    <w:semiHidden/>
    <w:unhideWhenUsed/>
    <w:qFormat/>
    <w:uiPriority w:val="99"/>
    <w:pPr>
      <w:jc w:val="left"/>
    </w:pPr>
  </w:style>
  <w:style w:type="paragraph" w:styleId="12">
    <w:name w:val="footer"/>
    <w:basedOn w:val="1"/>
    <w:link w:val="40"/>
    <w:unhideWhenUsed/>
    <w:qFormat/>
    <w:uiPriority w:val="99"/>
    <w:pPr>
      <w:tabs>
        <w:tab w:val="center" w:pos="4153"/>
        <w:tab w:val="right" w:pos="8306"/>
      </w:tabs>
      <w:snapToGrid w:val="0"/>
      <w:spacing w:line="240" w:lineRule="auto"/>
      <w:jc w:val="left"/>
    </w:pPr>
    <w:rPr>
      <w:sz w:val="18"/>
      <w:szCs w:val="18"/>
    </w:rPr>
  </w:style>
  <w:style w:type="paragraph" w:styleId="13">
    <w:name w:val="header"/>
    <w:basedOn w:val="1"/>
    <w:link w:val="39"/>
    <w:unhideWhenUsed/>
    <w:qFormat/>
    <w:uiPriority w:val="99"/>
    <w:pPr>
      <w:tabs>
        <w:tab w:val="center" w:pos="4153"/>
        <w:tab w:val="right" w:pos="8306"/>
      </w:tabs>
      <w:snapToGrid w:val="0"/>
      <w:spacing w:line="240" w:lineRule="auto"/>
      <w:jc w:val="center"/>
    </w:pPr>
    <w:rPr>
      <w:sz w:val="18"/>
      <w:szCs w:val="18"/>
    </w:rPr>
  </w:style>
  <w:style w:type="paragraph" w:styleId="14">
    <w:name w:val="Subtitle"/>
    <w:basedOn w:val="1"/>
    <w:next w:val="1"/>
    <w:link w:val="31"/>
    <w:qFormat/>
    <w:uiPriority w:val="11"/>
    <w:pPr>
      <w:spacing w:line="240" w:lineRule="auto"/>
      <w:jc w:val="center"/>
    </w:pPr>
    <w:rPr>
      <w:rFonts w:asciiTheme="majorHAnsi" w:hAnsiTheme="majorHAnsi" w:cstheme="majorBidi"/>
      <w:b/>
      <w:color w:val="000000" w:themeColor="text1"/>
      <w:spacing w:val="15"/>
      <w:sz w:val="24"/>
      <w:szCs w:val="28"/>
      <w14:textFill>
        <w14:solidFill>
          <w14:schemeClr w14:val="tx1"/>
        </w14:solidFill>
      </w14:textFill>
    </w:rPr>
  </w:style>
  <w:style w:type="paragraph" w:styleId="15">
    <w:name w:val="Title"/>
    <w:basedOn w:val="1"/>
    <w:next w:val="1"/>
    <w:link w:val="23"/>
    <w:qFormat/>
    <w:uiPriority w:val="10"/>
    <w:pPr>
      <w:ind w:firstLine="0" w:firstLineChars="0"/>
      <w:contextualSpacing/>
      <w:jc w:val="center"/>
    </w:pPr>
    <w:rPr>
      <w:rFonts w:eastAsia="方正小标宋简体" w:cstheme="majorBidi"/>
      <w:b/>
      <w:spacing w:val="-10"/>
      <w:kern w:val="28"/>
      <w:sz w:val="44"/>
      <w:szCs w:val="56"/>
    </w:rPr>
  </w:style>
  <w:style w:type="paragraph" w:styleId="16">
    <w:name w:val="annotation subject"/>
    <w:basedOn w:val="11"/>
    <w:next w:val="11"/>
    <w:link w:val="48"/>
    <w:semiHidden/>
    <w:unhideWhenUsed/>
    <w:qFormat/>
    <w:uiPriority w:val="99"/>
    <w:rPr>
      <w:b/>
      <w:bCs/>
    </w:rPr>
  </w:style>
  <w:style w:type="table" w:styleId="18">
    <w:name w:val="Table Grid"/>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annotation reference"/>
    <w:basedOn w:val="19"/>
    <w:semiHidden/>
    <w:unhideWhenUsed/>
    <w:qFormat/>
    <w:uiPriority w:val="99"/>
    <w:rPr>
      <w:sz w:val="21"/>
      <w:szCs w:val="21"/>
    </w:rPr>
  </w:style>
  <w:style w:type="character" w:customStyle="1" w:styleId="21">
    <w:name w:val="标题 2 字符"/>
    <w:basedOn w:val="19"/>
    <w:link w:val="3"/>
    <w:qFormat/>
    <w:uiPriority w:val="9"/>
    <w:rPr>
      <w:rFonts w:ascii="楷体_GB2312" w:hAnsi="Times New Roman" w:eastAsia="楷体_GB2312" w:cstheme="majorBidi"/>
      <w:b/>
      <w:color w:val="000000" w:themeColor="text1"/>
      <w:sz w:val="32"/>
      <w:szCs w:val="40"/>
      <w:lang w:eastAsia="en-US" w:bidi="en-US"/>
      <w14:textFill>
        <w14:solidFill>
          <w14:schemeClr w14:val="tx1"/>
        </w14:solidFill>
      </w14:textFill>
    </w:rPr>
  </w:style>
  <w:style w:type="character" w:customStyle="1" w:styleId="22">
    <w:name w:val="标题 1 字符"/>
    <w:basedOn w:val="19"/>
    <w:link w:val="2"/>
    <w:qFormat/>
    <w:uiPriority w:val="9"/>
    <w:rPr>
      <w:rFonts w:ascii="Times New Roman" w:hAnsi="Times New Roman" w:eastAsia="黑体" w:cstheme="majorBidi"/>
      <w:b/>
      <w:color w:val="000000" w:themeColor="text1"/>
      <w:kern w:val="0"/>
      <w:sz w:val="32"/>
      <w:szCs w:val="48"/>
      <w:lang w:eastAsia="en-US" w:bidi="en-US"/>
      <w14:textFill>
        <w14:solidFill>
          <w14:schemeClr w14:val="tx1"/>
        </w14:solidFill>
      </w14:textFill>
      <w14:ligatures w14:val="none"/>
    </w:rPr>
  </w:style>
  <w:style w:type="character" w:customStyle="1" w:styleId="23">
    <w:name w:val="标题 字符"/>
    <w:basedOn w:val="19"/>
    <w:link w:val="15"/>
    <w:qFormat/>
    <w:uiPriority w:val="10"/>
    <w:rPr>
      <w:rFonts w:ascii="Times New Roman" w:hAnsi="Times New Roman" w:eastAsia="方正小标宋简体" w:cstheme="majorBidi"/>
      <w:b/>
      <w:spacing w:val="-10"/>
      <w:kern w:val="28"/>
      <w:sz w:val="44"/>
      <w:szCs w:val="56"/>
    </w:rPr>
  </w:style>
  <w:style w:type="character" w:customStyle="1" w:styleId="24">
    <w:name w:val="标题 3 字符"/>
    <w:basedOn w:val="19"/>
    <w:link w:val="4"/>
    <w:qFormat/>
    <w:uiPriority w:val="9"/>
    <w:rPr>
      <w:rFonts w:ascii="Times New Roman" w:hAnsi="Times New Roman" w:eastAsia="仿宋_GB2312" w:cstheme="majorBidi"/>
      <w:b/>
      <w:color w:val="000000" w:themeColor="text1"/>
      <w:sz w:val="32"/>
      <w:szCs w:val="32"/>
      <w14:textFill>
        <w14:solidFill>
          <w14:schemeClr w14:val="tx1"/>
        </w14:solidFill>
      </w14:textFill>
    </w:rPr>
  </w:style>
  <w:style w:type="character" w:customStyle="1" w:styleId="25">
    <w:name w:val="标题 4 字符"/>
    <w:basedOn w:val="19"/>
    <w:link w:val="5"/>
    <w:semiHidden/>
    <w:qFormat/>
    <w:uiPriority w:val="9"/>
    <w:rPr>
      <w:rFonts w:cstheme="majorBidi"/>
      <w:color w:val="2F5597" w:themeColor="accent1" w:themeShade="BF"/>
      <w:sz w:val="28"/>
      <w:szCs w:val="28"/>
    </w:rPr>
  </w:style>
  <w:style w:type="character" w:customStyle="1" w:styleId="26">
    <w:name w:val="标题 5 字符"/>
    <w:basedOn w:val="19"/>
    <w:link w:val="6"/>
    <w:semiHidden/>
    <w:qFormat/>
    <w:uiPriority w:val="9"/>
    <w:rPr>
      <w:rFonts w:cstheme="majorBidi"/>
      <w:color w:val="2F5597" w:themeColor="accent1" w:themeShade="BF"/>
      <w:sz w:val="24"/>
    </w:rPr>
  </w:style>
  <w:style w:type="character" w:customStyle="1" w:styleId="27">
    <w:name w:val="标题 6 字符"/>
    <w:basedOn w:val="19"/>
    <w:link w:val="7"/>
    <w:semiHidden/>
    <w:qFormat/>
    <w:uiPriority w:val="9"/>
    <w:rPr>
      <w:rFonts w:cstheme="majorBidi"/>
      <w:b/>
      <w:bCs/>
      <w:color w:val="2F5597" w:themeColor="accent1" w:themeShade="BF"/>
      <w:sz w:val="32"/>
      <w:szCs w:val="22"/>
    </w:rPr>
  </w:style>
  <w:style w:type="character" w:customStyle="1" w:styleId="28">
    <w:name w:val="标题 7 字符"/>
    <w:basedOn w:val="19"/>
    <w:link w:val="8"/>
    <w:semiHidden/>
    <w:qFormat/>
    <w:uiPriority w:val="9"/>
    <w:rPr>
      <w:rFonts w:cstheme="majorBidi"/>
      <w:b/>
      <w:bCs/>
      <w:color w:val="595959" w:themeColor="text1" w:themeTint="A6"/>
      <w:sz w:val="32"/>
      <w:szCs w:val="22"/>
      <w14:textFill>
        <w14:solidFill>
          <w14:schemeClr w14:val="tx1">
            <w14:lumMod w14:val="65000"/>
            <w14:lumOff w14:val="35000"/>
          </w14:schemeClr>
        </w14:solidFill>
      </w14:textFill>
    </w:rPr>
  </w:style>
  <w:style w:type="character" w:customStyle="1" w:styleId="29">
    <w:name w:val="标题 8 字符"/>
    <w:basedOn w:val="19"/>
    <w:link w:val="9"/>
    <w:semiHidden/>
    <w:qFormat/>
    <w:uiPriority w:val="9"/>
    <w:rPr>
      <w:rFonts w:cstheme="majorBidi"/>
      <w:color w:val="595959" w:themeColor="text1" w:themeTint="A6"/>
      <w:sz w:val="32"/>
      <w:szCs w:val="22"/>
      <w14:textFill>
        <w14:solidFill>
          <w14:schemeClr w14:val="tx1">
            <w14:lumMod w14:val="65000"/>
            <w14:lumOff w14:val="35000"/>
          </w14:schemeClr>
        </w14:solidFill>
      </w14:textFill>
    </w:rPr>
  </w:style>
  <w:style w:type="character" w:customStyle="1" w:styleId="30">
    <w:name w:val="标题 9 字符"/>
    <w:basedOn w:val="19"/>
    <w:link w:val="10"/>
    <w:semiHidden/>
    <w:qFormat/>
    <w:uiPriority w:val="9"/>
    <w:rPr>
      <w:rFonts w:eastAsiaTheme="majorEastAsia" w:cstheme="majorBidi"/>
      <w:color w:val="595959" w:themeColor="text1" w:themeTint="A6"/>
      <w:sz w:val="32"/>
      <w:szCs w:val="22"/>
      <w14:textFill>
        <w14:solidFill>
          <w14:schemeClr w14:val="tx1">
            <w14:lumMod w14:val="65000"/>
            <w14:lumOff w14:val="35000"/>
          </w14:schemeClr>
        </w14:solidFill>
      </w14:textFill>
    </w:rPr>
  </w:style>
  <w:style w:type="character" w:customStyle="1" w:styleId="31">
    <w:name w:val="副标题 字符"/>
    <w:basedOn w:val="19"/>
    <w:link w:val="14"/>
    <w:qFormat/>
    <w:uiPriority w:val="11"/>
    <w:rPr>
      <w:rFonts w:eastAsia="仿宋_GB2312" w:asciiTheme="majorHAnsi" w:hAnsiTheme="majorHAnsi" w:cstheme="majorBidi"/>
      <w:b/>
      <w:color w:val="000000" w:themeColor="text1"/>
      <w:spacing w:val="15"/>
      <w:kern w:val="0"/>
      <w:sz w:val="24"/>
      <w:szCs w:val="28"/>
      <w:lang w:eastAsia="en-US" w:bidi="en-US"/>
      <w14:textFill>
        <w14:solidFill>
          <w14:schemeClr w14:val="tx1"/>
        </w14:solidFill>
      </w14:textFill>
      <w14:ligatures w14:val="none"/>
    </w:rPr>
  </w:style>
  <w:style w:type="paragraph"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引用 字符"/>
    <w:basedOn w:val="19"/>
    <w:link w:val="32"/>
    <w:qFormat/>
    <w:uiPriority w:val="29"/>
    <w:rPr>
      <w:rFonts w:ascii="Times New Roman" w:hAnsi="Times New Roman" w:eastAsia="仿宋_GB2312"/>
      <w:i/>
      <w:iCs/>
      <w:color w:val="404040" w:themeColor="text1" w:themeTint="BF"/>
      <w:sz w:val="32"/>
      <w:szCs w:val="22"/>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明显强调1"/>
    <w:basedOn w:val="19"/>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明显引用 字符"/>
    <w:basedOn w:val="19"/>
    <w:link w:val="36"/>
    <w:qFormat/>
    <w:uiPriority w:val="30"/>
    <w:rPr>
      <w:rFonts w:ascii="Times New Roman" w:hAnsi="Times New Roman" w:eastAsia="仿宋_GB2312"/>
      <w:i/>
      <w:iCs/>
      <w:color w:val="2F5597" w:themeColor="accent1" w:themeShade="BF"/>
      <w:sz w:val="32"/>
      <w:szCs w:val="22"/>
    </w:rPr>
  </w:style>
  <w:style w:type="character" w:customStyle="1" w:styleId="38">
    <w:name w:val="明显参考1"/>
    <w:basedOn w:val="19"/>
    <w:qFormat/>
    <w:uiPriority w:val="32"/>
    <w:rPr>
      <w:b/>
      <w:bCs/>
      <w:smallCaps/>
      <w:color w:val="2F5597" w:themeColor="accent1" w:themeShade="BF"/>
      <w:spacing w:val="5"/>
    </w:rPr>
  </w:style>
  <w:style w:type="character" w:customStyle="1" w:styleId="39">
    <w:name w:val="页眉 字符"/>
    <w:basedOn w:val="19"/>
    <w:link w:val="13"/>
    <w:qFormat/>
    <w:uiPriority w:val="99"/>
    <w:rPr>
      <w:rFonts w:ascii="Times New Roman" w:hAnsi="Times New Roman" w:eastAsia="仿宋_GB2312"/>
      <w:sz w:val="18"/>
      <w:szCs w:val="18"/>
    </w:rPr>
  </w:style>
  <w:style w:type="character" w:customStyle="1" w:styleId="40">
    <w:name w:val="页脚 字符"/>
    <w:basedOn w:val="19"/>
    <w:link w:val="12"/>
    <w:qFormat/>
    <w:uiPriority w:val="99"/>
    <w:rPr>
      <w:rFonts w:ascii="Times New Roman" w:hAnsi="Times New Roman" w:eastAsia="仿宋_GB2312"/>
      <w:sz w:val="18"/>
      <w:szCs w:val="18"/>
    </w:rPr>
  </w:style>
  <w:style w:type="character" w:customStyle="1" w:styleId="41">
    <w:name w:val="正文文本_"/>
    <w:basedOn w:val="19"/>
    <w:link w:val="42"/>
    <w:qFormat/>
    <w:uiPriority w:val="0"/>
    <w:rPr>
      <w:rFonts w:ascii="MingLiU" w:hAnsi="MingLiU" w:eastAsia="MingLiU" w:cs="MingLiU"/>
      <w:sz w:val="26"/>
      <w:szCs w:val="26"/>
      <w:shd w:val="clear" w:color="auto" w:fill="FFFFFF"/>
      <w:lang w:val="zh-CN" w:bidi="zh-CN"/>
    </w:rPr>
  </w:style>
  <w:style w:type="paragraph" w:customStyle="1" w:styleId="42">
    <w:name w:val="正文文本1"/>
    <w:basedOn w:val="1"/>
    <w:link w:val="41"/>
    <w:qFormat/>
    <w:uiPriority w:val="0"/>
    <w:pPr>
      <w:shd w:val="clear" w:color="auto" w:fill="FFFFFF"/>
      <w:spacing w:line="430" w:lineRule="auto"/>
      <w:ind w:firstLine="400"/>
    </w:pPr>
    <w:rPr>
      <w:rFonts w:ascii="MingLiU" w:hAnsi="MingLiU" w:eastAsia="MingLiU" w:cs="MingLiU"/>
      <w:color w:val="auto"/>
      <w:kern w:val="2"/>
      <w:sz w:val="26"/>
      <w:szCs w:val="26"/>
      <w:lang w:val="zh-CN" w:eastAsia="zh-CN" w:bidi="zh-CN"/>
      <w14:ligatures w14:val="standardContextual"/>
    </w:rPr>
  </w:style>
  <w:style w:type="character" w:customStyle="1" w:styleId="43">
    <w:name w:val="标题 #2_"/>
    <w:basedOn w:val="19"/>
    <w:link w:val="44"/>
    <w:qFormat/>
    <w:uiPriority w:val="0"/>
    <w:rPr>
      <w:rFonts w:ascii="MingLiU" w:hAnsi="MingLiU" w:eastAsia="MingLiU" w:cs="MingLiU"/>
      <w:b/>
      <w:bCs/>
      <w:sz w:val="26"/>
      <w:szCs w:val="26"/>
      <w:shd w:val="clear" w:color="auto" w:fill="FFFFFF"/>
      <w:lang w:val="zh-CN" w:bidi="zh-CN"/>
    </w:rPr>
  </w:style>
  <w:style w:type="paragraph" w:customStyle="1" w:styleId="44">
    <w:name w:val="标题 #2"/>
    <w:basedOn w:val="1"/>
    <w:link w:val="43"/>
    <w:qFormat/>
    <w:uiPriority w:val="0"/>
    <w:pPr>
      <w:shd w:val="clear" w:color="auto" w:fill="FFFFFF"/>
      <w:spacing w:line="545" w:lineRule="exact"/>
      <w:outlineLvl w:val="1"/>
    </w:pPr>
    <w:rPr>
      <w:rFonts w:ascii="MingLiU" w:hAnsi="MingLiU" w:eastAsia="MingLiU" w:cs="MingLiU"/>
      <w:b/>
      <w:bCs/>
      <w:color w:val="auto"/>
      <w:kern w:val="2"/>
      <w:sz w:val="26"/>
      <w:szCs w:val="26"/>
      <w:lang w:val="zh-CN" w:eastAsia="zh-CN" w:bidi="zh-CN"/>
      <w14:ligatures w14:val="standardContextual"/>
    </w:rPr>
  </w:style>
  <w:style w:type="paragraph" w:styleId="45">
    <w:name w:val="No Spacing"/>
    <w:qFormat/>
    <w:uiPriority w:val="1"/>
    <w:pPr>
      <w:widowControl w:val="0"/>
    </w:pPr>
    <w:rPr>
      <w:rFonts w:ascii="Times New Roman" w:hAnsi="Times New Roman" w:eastAsia="仿宋_GB2312" w:cs="Microsoft JhengHei Light"/>
      <w:color w:val="000000"/>
      <w:sz w:val="24"/>
      <w:szCs w:val="24"/>
      <w:lang w:val="en-US" w:eastAsia="en-US" w:bidi="en-US"/>
    </w:rPr>
  </w:style>
  <w:style w:type="paragraph" w:customStyle="1" w:styleId="46">
    <w:name w:val="修订1"/>
    <w:hidden/>
    <w:semiHidden/>
    <w:qFormat/>
    <w:uiPriority w:val="99"/>
    <w:rPr>
      <w:rFonts w:ascii="Times New Roman" w:hAnsi="Times New Roman" w:eastAsia="仿宋_GB2312" w:cs="Microsoft JhengHei Light"/>
      <w:color w:val="000000"/>
      <w:sz w:val="32"/>
      <w:szCs w:val="24"/>
      <w:lang w:val="en-US" w:eastAsia="en-US" w:bidi="en-US"/>
    </w:rPr>
  </w:style>
  <w:style w:type="character" w:customStyle="1" w:styleId="47">
    <w:name w:val="批注文字 字符"/>
    <w:basedOn w:val="19"/>
    <w:link w:val="11"/>
    <w:semiHidden/>
    <w:qFormat/>
    <w:uiPriority w:val="99"/>
    <w:rPr>
      <w:rFonts w:ascii="Times New Roman" w:hAnsi="Times New Roman" w:eastAsia="仿宋_GB2312" w:cs="Microsoft JhengHei Light"/>
      <w:color w:val="000000"/>
      <w:kern w:val="0"/>
      <w:sz w:val="32"/>
      <w:lang w:eastAsia="en-US" w:bidi="en-US"/>
      <w14:ligatures w14:val="none"/>
    </w:rPr>
  </w:style>
  <w:style w:type="character" w:customStyle="1" w:styleId="48">
    <w:name w:val="批注主题 字符"/>
    <w:basedOn w:val="47"/>
    <w:link w:val="16"/>
    <w:semiHidden/>
    <w:qFormat/>
    <w:uiPriority w:val="99"/>
    <w:rPr>
      <w:rFonts w:ascii="Times New Roman" w:hAnsi="Times New Roman" w:eastAsia="仿宋_GB2312" w:cs="Microsoft JhengHei Light"/>
      <w:b/>
      <w:bCs/>
      <w:color w:val="000000"/>
      <w:kern w:val="0"/>
      <w:sz w:val="32"/>
      <w:lang w:eastAsia="en-US" w:bidi="en-US"/>
      <w14:ligatures w14:val="none"/>
    </w:rPr>
  </w:style>
  <w:style w:type="paragraph" w:customStyle="1" w:styleId="49">
    <w:name w:val="修订2"/>
    <w:hidden/>
    <w:unhideWhenUsed/>
    <w:qFormat/>
    <w:uiPriority w:val="99"/>
    <w:rPr>
      <w:rFonts w:ascii="Times New Roman" w:hAnsi="Times New Roman" w:eastAsia="仿宋_GB2312" w:cs="Microsoft JhengHei Light"/>
      <w:color w:val="000000"/>
      <w:sz w:val="32"/>
      <w:szCs w:val="24"/>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51FA84EB-7F35-49B6-9F31-13528AA9A8A3}">
  <ds:schemaRefs/>
</ds:datastoreItem>
</file>

<file path=docProps/app.xml><?xml version="1.0" encoding="utf-8"?>
<Properties xmlns="http://schemas.openxmlformats.org/officeDocument/2006/extended-properties" xmlns:vt="http://schemas.openxmlformats.org/officeDocument/2006/docPropsVTypes">
  <Template>Normal</Template>
  <Pages>25</Pages>
  <Words>7502</Words>
  <Characters>7578</Characters>
  <Lines>421</Lines>
  <Paragraphs>327</Paragraphs>
  <TotalTime>77</TotalTime>
  <ScaleCrop>false</ScaleCrop>
  <LinksUpToDate>false</LinksUpToDate>
  <CharactersWithSpaces>14753</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2026-09-08T03:22:00Z</dcterms:created>
  <dc:creator>1050179051@qq.com</dc:creator>
  <cp:lastModifiedBy>Admin2025</cp:lastModifiedBy>
  <dcterms:modified xsi:type="dcterms:W3CDTF">2026-09-11T09:20:08Z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C23DBE255C1A9919EEFE846A3B021590_42</vt:lpwstr>
  </property>
</Properties>
</file>